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CWE a Nivel Nacional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 xml:space="preserve">Este marco integra la metodología </w:t>
      </w:r>
      <w:r>
        <w:rPr>
          <w:b/>
        </w:rPr>
        <w:t>GQM (Goal–Question–Metric)</w:t>
      </w:r>
      <w:r>
        <w:t xml:space="preserve"> con la evaluación </w:t>
      </w:r>
      <w:r>
        <w:rPr>
          <w:b/>
        </w:rPr>
        <w:t>PRAGMATIC</w:t>
      </w:r>
      <w:r>
        <w:t xml:space="preserve"> de métricas para diseñar y gobernar indicadores nacionales basados en CWE (Common Weakness Enumeration), desde objetivos estratégicos de país hasta datos técnicos recogidos en las organizaciones. [web:16][web:17][web:18]</w:t>
      </w:r>
    </w:p>
    <w:p>
      <w:r>
        <w:t>La lógica es sencilla, aunque no por ello menos testaruda:</w:t>
      </w:r>
      <w:r/>
      <w:r>
        <w:br/>
        <w:t>- Primero se fijan metas (Goal) a nivel nacional y sectorial.</w:t>
      </w:r>
      <w:r/>
      <w:r>
        <w:br/>
        <w:t>- Después se formulan preguntas (Question) que permitan comprobar si avanzamos hacia esas metas.</w:t>
      </w:r>
      <w:r/>
      <w:r>
        <w:br/>
        <w:t xml:space="preserve">- Finalmente se definen métricas (Metric) basadas en CWE, CVE, CVSS y otros datos técnicos. [web:16][web:24]  </w:t>
      </w:r>
    </w:p>
    <w:p>
      <w:r>
        <w:t>Cada métrica se valora con los criterios PRAGMATIC (Predictive, Relevant, Actionable, Genuine, Meaningful, Accurate, Timely, Independent, Cost‑effective) para asegurarnos de que no estamos midiendo por deporte, sino por utilidad. [web:21][web:26]</w:t>
      </w:r>
    </w:p>
    <w:p>
      <w:pPr>
        <w:pStyle w:val="Heading2"/>
        <w:keepNext/>
        <w:keepLines/>
      </w:pPr>
      <w:r>
        <w:rPr>
          <w:color w:val="0066CC"/>
        </w:rPr>
        <w:t>2. Resumen de la metodología GQM</w:t>
      </w:r>
    </w:p>
    <w:p>
      <w:r>
        <w:t>La metodología GQM plantea tres niveles: [web:17][web:18][web:25]</w:t>
      </w:r>
    </w:p>
    <w:p>
      <w:pPr>
        <w:pStyle w:val="ListNumber"/>
        <w:keepLines w:val="1"/>
        <w:keepNext w:val="1"/>
        <w:widowControl w:val="1"/>
      </w:pPr>
      <w:r>
        <w:t xml:space="preserve">Goal (Meta) </w:t>
      </w:r>
    </w:p>
    <w:p>
      <w:pPr>
        <w:pStyle w:val="ListNumber"/>
        <w:keepLines w:val="1"/>
        <w:keepNext w:val="1"/>
        <w:widowControl w:val="1"/>
      </w:pPr>
      <w:r>
        <w:br/>
        <w:t xml:space="preserve">¿Qué queremos lograr, desde qué punto de vista y sobre qué objeto (país, sector, programa)?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Question (Pregunta)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¿Qué debemos saber para juzgar si estamos logrando esa meta?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Metric (Métrica) </w:t>
        <w:br/>
      </w:r>
    </w:p>
    <w:p>
      <w:pPr>
        <w:pStyle w:val="ListNumber"/>
        <w:keepLines w:val="1"/>
        <w:widowControl w:val="1"/>
      </w:pPr>
      <w:r>
        <w:t xml:space="preserve">¿Qué observables medimos para responder a las preguntas de forma objetiva?  </w:t>
      </w:r>
    </w:p>
    <w:p>
      <w:r>
        <w:t xml:space="preserve">¿Qué queremos lograr, desde qué punto de vista y sobre qué objeto (país, sector, programa)?  </w:t>
      </w:r>
    </w:p>
    <w:p>
      <w:r>
        <w:rPr>
          <w:b/>
        </w:rPr>
        <w:t>Question (Pregunta)</w:t>
      </w:r>
      <w:r>
        <w:t xml:space="preserve"> </w:t>
      </w:r>
    </w:p>
    <w:p>
      <w:r>
        <w:t xml:space="preserve">¿Qué debemos saber para juzgar si estamos logrando esa meta?  </w:t>
      </w:r>
    </w:p>
    <w:p>
      <w:r>
        <w:rPr>
          <w:b/>
        </w:rPr>
        <w:t>Metric (Métrica)</w:t>
      </w:r>
      <w:r>
        <w:t xml:space="preserve"> </w:t>
      </w:r>
    </w:p>
    <w:p>
      <w:r>
        <w:t xml:space="preserve">Aplicado a indicadores CWE a nivel nacional, los </w:t>
      </w:r>
      <w:r>
        <w:rPr>
          <w:b/>
        </w:rPr>
        <w:t>objetos</w:t>
      </w:r>
      <w:r>
        <w:t xml:space="preserve"> de medición incluyen:</w:t>
      </w:r>
      <w:r/>
      <w:r>
        <w:br/>
        <w:t>- Programas nacionales de ciberseguridad.</w:t>
      </w:r>
      <w:r/>
      <w:r>
        <w:br/>
        <w:t>- Sectores críticos (sanidad, energía, administración pública, etc.).</w:t>
      </w:r>
      <w:r/>
      <w:r>
        <w:br/>
        <w:t>- El “perfil de debilidades” del software y hardware desplegado en el país, usando CWE, CVE y CVSS. [web:22][web:28][web:9]</w:t>
      </w:r>
    </w:p>
    <w:p>
      <w:pPr>
        <w:pStyle w:val="Heading2"/>
        <w:keepNext/>
        <w:keepLines/>
      </w:pPr>
      <w:r>
        <w:rPr>
          <w:color w:val="0066CC"/>
        </w:rPr>
        <w:t>3. Resumen del metamodelo PRAGMATIC</w:t>
      </w:r>
    </w:p>
    <w:p>
      <w:r>
        <w:t>El enfoque PRAGMATIC es un metamétrica para evaluar la calidad de las métricas de seguridad: [web:21][web:26]</w:t>
      </w:r>
    </w:p>
    <w:p>
      <w:pPr>
        <w:pStyle w:val="ListBullet"/>
        <w:keepLines w:val="1"/>
        <w:keepNext w:val="1"/>
        <w:widowControl w:val="1"/>
      </w:pPr>
      <w:r>
        <w:t xml:space="preserve">P – Predictive (Predictivo): ayuda a anticipar resultados futuros.  </w:t>
      </w:r>
    </w:p>
    <w:p>
      <w:pPr>
        <w:pStyle w:val="ListBullet"/>
        <w:keepLines w:val="1"/>
        <w:keepNext w:val="1"/>
        <w:widowControl w:val="1"/>
      </w:pPr>
      <w:r>
        <w:t xml:space="preserve">R – Relevant (Relevante): está alineada con objetivos de negocio/país.  </w:t>
      </w:r>
    </w:p>
    <w:p>
      <w:pPr>
        <w:pStyle w:val="ListBullet"/>
        <w:keepLines w:val="1"/>
        <w:keepNext w:val="1"/>
        <w:widowControl w:val="1"/>
      </w:pPr>
      <w:r>
        <w:t xml:space="preserve">A – Actionable (Accionable): sugiere acciones concretas.  </w:t>
      </w:r>
    </w:p>
    <w:p>
      <w:pPr>
        <w:pStyle w:val="ListBullet"/>
        <w:keepLines w:val="1"/>
        <w:keepNext w:val="1"/>
        <w:widowControl w:val="1"/>
      </w:pPr>
      <w:r>
        <w:t xml:space="preserve">G – Genuine (Genuino): refleja la realidad, no sirve para maquillarla.  </w:t>
      </w:r>
    </w:p>
    <w:p>
      <w:pPr>
        <w:pStyle w:val="ListBullet"/>
        <w:keepLines w:val="1"/>
        <w:keepNext w:val="1"/>
        <w:widowControl w:val="1"/>
      </w:pPr>
      <w:r>
        <w:t xml:space="preserve">M – Meaningful (Significativo): se entiende y tiene sentido para decisores.  </w:t>
      </w:r>
    </w:p>
    <w:p>
      <w:pPr>
        <w:pStyle w:val="ListBullet"/>
        <w:keepLines w:val="1"/>
        <w:keepNext w:val="1"/>
        <w:widowControl w:val="1"/>
      </w:pPr>
      <w:r>
        <w:t xml:space="preserve">A – Accurate (Preciso): suficientemente exacta para el uso previsto.  </w:t>
      </w:r>
    </w:p>
    <w:p>
      <w:pPr>
        <w:pStyle w:val="ListBullet"/>
        <w:keepLines w:val="1"/>
        <w:keepNext w:val="1"/>
        <w:widowControl w:val="1"/>
      </w:pPr>
      <w:r>
        <w:t xml:space="preserve">T – Timely (Oportuno): disponible cuando se necesita.  </w:t>
      </w:r>
    </w:p>
    <w:p>
      <w:pPr>
        <w:pStyle w:val="ListBullet"/>
        <w:keepLines w:val="1"/>
        <w:keepNext w:val="1"/>
        <w:widowControl w:val="1"/>
      </w:pPr>
      <w:r>
        <w:t xml:space="preserve">I – Independent (Independiente): no está sesgada por quien la produce.  </w:t>
      </w:r>
    </w:p>
    <w:p>
      <w:pPr>
        <w:pStyle w:val="ListBullet"/>
        <w:keepLines w:val="1"/>
        <w:widowControl w:val="1"/>
      </w:pPr>
      <w:r>
        <w:t xml:space="preserve">C – Cost‑effective (Rentable): el coste de obtenerla es razonable.  </w:t>
      </w:r>
    </w:p>
    <w:p>
      <w:r>
        <w:t>En este marco asignaremos a cada métrica una valoración cualitativa (Alto / Medio / Bajo) y, si se desea, un puntaje numérico (por ejemplo, 0–3 por criterio, sumando un “score PRAGMATIC”).</w:t>
      </w:r>
    </w:p>
    <w:p>
      <w:pPr>
        <w:pStyle w:val="Heading2"/>
        <w:keepNext/>
        <w:keepLines/>
      </w:pPr>
      <w:r>
        <w:rPr>
          <w:color w:val="0066CC"/>
        </w:rPr>
        <w:t>4. Conjunto de metas nacionales (G de GQM)</w:t>
      </w:r>
    </w:p>
    <w:p>
      <w:r>
        <w:t>Inspirándonos en el informe de indicadores CWE propuesto para España y alineado con estrategias europeas y nacionales, planteamos cuatro metas principales: [web:9][web:14][web:13][web:22][web:28]</w:t>
      </w:r>
    </w:p>
    <w:p>
      <w:pPr>
        <w:pStyle w:val="Heading3"/>
        <w:keepNext/>
        <w:keepLines/>
      </w:pPr>
      <w:r>
        <w:t>G1 – Reducir la prevalencia nacional de debilidades críticas CWE</w:t>
      </w:r>
    </w:p>
    <w:p>
      <w:r>
        <w:rPr>
          <w:b/>
        </w:rPr>
        <w:t>Formulación GQM</w:t>
      </w:r>
      <w:r/>
      <w:r>
        <w:br/>
        <w:t>- Objetivo: Reducir la prevalencia de debilidades de software y hardware clasificadas en CWE, en especial las recogidas en el Top 25 y las listas KEV/MIHW, en sistemas relevantes para el país. [web:28][web:22][web:9]</w:t>
      </w:r>
      <w:r/>
      <w:r>
        <w:br/>
        <w:t>- Perspectiva: Nacional / sectorial.</w:t>
      </w:r>
      <w:r/>
      <w:r>
        <w:br/>
        <w:t>- Motivo: Mejorar la resiliencia, reducir incidentes y alinearse con buenas prácticas internacionales.</w:t>
      </w:r>
    </w:p>
    <w:p>
      <w:pPr>
        <w:pStyle w:val="Heading3"/>
        <w:keepNext/>
        <w:keepLines/>
      </w:pPr>
      <w:r>
        <w:t>G2 – Mejorar la capacidad nacional de detección y remediación de debilidades CWE</w:t>
      </w:r>
    </w:p>
    <w:p>
      <w:r>
        <w:rPr>
          <w:b/>
        </w:rPr>
        <w:t>Formulación GQM</w:t>
      </w:r>
      <w:r/>
      <w:r>
        <w:br/>
        <w:t>- Objetivo: Reducir sistemáticamente el tiempo de detección y remediación de debilidades agrupadas por CWE en organizaciones clave. [web:9][web:14]</w:t>
      </w:r>
      <w:r/>
      <w:r>
        <w:br/>
        <w:t>- Perspectiva: Nacional, con énfasis en operadores esenciales y administración.</w:t>
      </w:r>
      <w:r/>
      <w:r>
        <w:br/>
        <w:t>- Motivo: Minimizar ventana de exposición, especialmente para debilidades asociadas a vulnerabilidades explotadas activamente (KEV). [web:2][web:9]</w:t>
      </w:r>
    </w:p>
    <w:p>
      <w:pPr>
        <w:pStyle w:val="Heading3"/>
        <w:keepNext/>
        <w:keepLines/>
      </w:pPr>
      <w:r>
        <w:t>G3 – Integrar CWE en el gobierno, la regulación y los marcos de cumplimiento</w:t>
      </w:r>
    </w:p>
    <w:p>
      <w:r>
        <w:rPr>
          <w:b/>
        </w:rPr>
        <w:t>Formulación GQM</w:t>
      </w:r>
      <w:r/>
      <w:r>
        <w:br/>
        <w:t>- Objetivo: Lograr que los marcos regulatorios (ENS, NIS2, guías nacionales) y los sistemas de gobierno corporativo utilicen CWE como lenguaje estándar para debilidades. [web:9][web:13][web:22]</w:t>
      </w:r>
      <w:r/>
      <w:r>
        <w:br/>
        <w:t>- Perspectiva: Reguladores, responsables políticos, alta dirección de organizaciones.</w:t>
      </w:r>
      <w:r/>
      <w:r>
        <w:br/>
        <w:t>- Motivo: Alinear el discurso técnico con obligaciones legales y políticas públicas.</w:t>
      </w:r>
    </w:p>
    <w:p>
      <w:pPr>
        <w:pStyle w:val="Heading3"/>
        <w:keepNext/>
        <w:keepLines/>
      </w:pPr>
      <w:r>
        <w:t>G4 – Desarrollar capacidades y cultura nacional en torno a CWE</w:t>
      </w:r>
    </w:p>
    <w:p>
      <w:r>
        <w:rPr>
          <w:b/>
        </w:rPr>
        <w:t>Formulación GQM</w:t>
      </w:r>
      <w:r/>
      <w:r>
        <w:br/>
        <w:t>- Objetivo: Aumentar la capacidad técnica (formación, herramientas, procesos) y la cultura organizativa alrededor de CWE, para que la gestión de debilidades no sea un deporte extremo reservado a unos pocos expertos. [web:8][web:9][web:14]</w:t>
      </w:r>
      <w:r/>
      <w:r>
        <w:br/>
        <w:t>- Perspectiva: Ecosistema de talento, proveedores, sector público y privado.</w:t>
      </w:r>
      <w:r/>
      <w:r>
        <w:br/>
        <w:t>- Motivo: Sostenibilidad de la mejora a largo plazo.</w:t>
      </w:r>
    </w:p>
    <w:p>
      <w:pPr>
        <w:pStyle w:val="Heading2"/>
        <w:keepNext/>
        <w:keepLines/>
      </w:pPr>
      <w:r>
        <w:rPr>
          <w:color w:val="0066CC"/>
        </w:rPr>
        <w:t>5. GQM aplicado a indicadores CWE propuestos</w:t>
      </w:r>
    </w:p>
    <w:p>
      <w:r>
        <w:t xml:space="preserve">A continuación se presenta una selección de indicadores clave del informe CWE original, ahora estructurados en forma GQM.  </w:t>
      </w:r>
    </w:p>
    <w:p>
      <w:pPr>
        <w:pStyle w:val="Heading3"/>
        <w:keepNext/>
        <w:keepLines/>
      </w:pPr>
      <w:r>
        <w:t>5.1. Indicadores de prevalencia (meta G1)</w:t>
      </w:r>
    </w:p>
    <w:p>
      <w:pPr>
        <w:pStyle w:val="Heading4"/>
        <w:keepNext/>
        <w:keepLines/>
      </w:pPr>
      <w:r>
        <w:t>5.1.1. G1Q1 – ¿Qué proporción de vulnerabilidades nacionales se explican por debilidades CWE del Top 25?</w:t>
      </w:r>
    </w:p>
    <w:p>
      <w:pPr>
        <w:pStyle w:val="ListBullet"/>
        <w:keepLines w:val="1"/>
        <w:keepNext w:val="1"/>
        <w:widowControl w:val="1"/>
      </w:pPr>
      <w:r>
        <w:t xml:space="preserve">Métrica M1.1: Porcentaje de vulnerabilidades (CVE u otras entradas equivalentes en repositorios nacionales) mapeadas a algún CWE del Top 25 vigente. [web:28][web:1][web:4]  </w:t>
      </w:r>
    </w:p>
    <w:p>
      <w:pPr>
        <w:pStyle w:val="ListBullet"/>
        <w:keepLines w:val="1"/>
        <w:keepNext w:val="1"/>
        <w:widowControl w:val="1"/>
      </w:pPr>
      <w:r>
        <w:t xml:space="preserve">Definición:  </w:t>
        <w:br/>
        <w:t xml:space="preserve">Numerador: número de entradas de vulnerabilidad con mapeo a CWE ∩ Top 25.  </w:t>
        <w:br/>
        <w:t xml:space="preserve">Denominador: total de vulnerabilidades registradas en el periodo.  </w:t>
        <w:br/>
        <w:br/>
      </w:r>
    </w:p>
    <w:p>
      <w:pPr>
        <w:pStyle w:val="ListBullet"/>
        <w:keepLines w:val="1"/>
        <w:widowControl w:val="1"/>
      </w:pPr>
      <w:r>
        <w:t>Fuente de datos: CSIRTs nacionales, repositorios sectoriales, NVD cuando aplique. [web:28][web:27][web:9]</w:t>
      </w:r>
    </w:p>
    <w:p>
      <w:pPr>
        <w:pStyle w:val="ListBullet"/>
        <w:keepLines w:val="1"/>
        <w:keepNext w:val="1"/>
        <w:widowControl w:val="1"/>
      </w:pPr>
      <w:r>
        <w:t xml:space="preserve">Numerador: número de entradas de vulnerabilidad con mapeo a CWE ∩ Top 25.  </w:t>
      </w:r>
    </w:p>
    <w:p>
      <w:pPr>
        <w:pStyle w:val="ListBullet"/>
        <w:keepLines w:val="1"/>
        <w:widowControl w:val="1"/>
      </w:pPr>
      <w:r>
        <w:t xml:space="preserve">Denominador: total de vulnerabilidades registradas en el periodo.  </w:t>
      </w:r>
    </w:p>
    <w:p>
      <w:pPr>
        <w:pStyle w:val="Heading4"/>
        <w:keepNext/>
        <w:keepLines/>
      </w:pPr>
      <w:r>
        <w:t>5.1.2. G1Q2 – ¿Cómo se distribuyen las debilidades CWE por sector?</w:t>
      </w:r>
    </w:p>
    <w:p>
      <w:pPr>
        <w:pStyle w:val="ListBullet"/>
        <w:keepLines w:val="1"/>
        <w:keepNext w:val="1"/>
        <w:widowControl w:val="1"/>
      </w:pPr>
      <w:r>
        <w:t xml:space="preserve">Métrica M1.2: Distribución porcentual de vulnerabilidades por categoría CWE Top 25 en cada sector (sanidad, energía, AP, etc.). [web:9][web:14][web:28]  </w:t>
      </w:r>
    </w:p>
    <w:p>
      <w:pPr>
        <w:pStyle w:val="ListBullet"/>
        <w:keepLines w:val="1"/>
        <w:widowControl w:val="1"/>
      </w:pPr>
      <w:r>
        <w:t>Métrica M1.3: Ranking de las 10 CWE más frecuentes por sector.</w:t>
      </w:r>
    </w:p>
    <w:p>
      <w:pPr>
        <w:pStyle w:val="Heading4"/>
        <w:keepNext/>
        <w:keepLines/>
      </w:pPr>
      <w:r>
        <w:t>5.1.3. G1Q3 – ¿Las debilidades de diseño vs. implementación evolucionan en sentido deseado?</w:t>
      </w:r>
    </w:p>
    <w:p>
      <w:pPr>
        <w:pStyle w:val="ListBullet"/>
        <w:keepLines w:val="1"/>
        <w:widowControl w:val="1"/>
      </w:pPr>
      <w:r>
        <w:t xml:space="preserve">Métrica M1.4: Proporción de debilidades de diseño (según clasificación CWE-1000) frente a debilidades puramente de implementación. [web:7][web:22]  </w:t>
      </w:r>
    </w:p>
    <w:p>
      <w:pPr>
        <w:pStyle w:val="Heading3"/>
        <w:keepNext/>
        <w:keepLines/>
      </w:pPr>
      <w:r>
        <w:t>5.2. Indicadores de criticidad y riesgo (meta G1 / G2)</w:t>
      </w:r>
    </w:p>
    <w:p>
      <w:pPr>
        <w:pStyle w:val="Heading4"/>
        <w:keepNext/>
        <w:keepLines/>
      </w:pPr>
      <w:r>
        <w:t>5.2.1. G1Q4 – ¿Cuál es la severidad media de las vulnerabilidades asociadas a determinadas CWE?</w:t>
      </w:r>
    </w:p>
    <w:p>
      <w:pPr>
        <w:pStyle w:val="ListBullet"/>
        <w:keepLines w:val="1"/>
        <w:widowControl w:val="1"/>
      </w:pPr>
      <w:r>
        <w:t xml:space="preserve">Métrica M2.1: CVSS medio por CWE en activos nacionales, calculado sobre las vulnerabilidades reportadas. [web:9][web:14][web:28]  </w:t>
      </w:r>
    </w:p>
    <w:p>
      <w:pPr>
        <w:pStyle w:val="Heading4"/>
        <w:keepNext/>
        <w:keepLines/>
      </w:pPr>
      <w:r>
        <w:t>5.2.2. G2Q1 – ¿Qué peso tienen las debilidades asociadas a vulnerabilidades explotadas activamente (KEV)?</w:t>
      </w:r>
    </w:p>
    <w:p>
      <w:pPr>
        <w:pStyle w:val="ListBullet"/>
        <w:keepLines w:val="1"/>
        <w:widowControl w:val="1"/>
      </w:pPr>
      <w:r>
        <w:t xml:space="preserve">Métrica M2.2: Porcentaje de vulnerabilidades asociadas a CWE presentes en el catálogo KEV (Top KEV o total KEV) sobre el total de vulnerabilidades. [web:2][web:9]  </w:t>
      </w:r>
    </w:p>
    <w:p>
      <w:pPr>
        <w:pStyle w:val="Heading3"/>
        <w:keepNext/>
        <w:keepLines/>
      </w:pPr>
      <w:r>
        <w:t>5.3. Indicadores de desempeño (meta G2)</w:t>
      </w:r>
    </w:p>
    <w:p>
      <w:pPr>
        <w:pStyle w:val="Heading4"/>
        <w:keepNext/>
        <w:keepLines/>
      </w:pPr>
      <w:r>
        <w:t>5.3.1. G2Q2 – ¿Qué tiempo tardan las organizaciones en corregir debilidades CWE críticas?</w:t>
      </w:r>
    </w:p>
    <w:p>
      <w:pPr>
        <w:pStyle w:val="ListBullet"/>
        <w:keepLines w:val="1"/>
        <w:widowControl w:val="1"/>
      </w:pPr>
      <w:r>
        <w:t xml:space="preserve">Métrica M3.1: Tiempo medio de remediación (en días) de vulnerabilidades asociadas a determinadas CWE prioritarias (por ejemplo, Top 10 KEV/CWE). [web:2][web:9][web:14]  </w:t>
      </w:r>
    </w:p>
    <w:p>
      <w:pPr>
        <w:pStyle w:val="Heading4"/>
        <w:keepNext/>
        <w:keepLines/>
      </w:pPr>
      <w:r>
        <w:t>5.3.2. G2Q3 – ¿Las acciones de mitigación tienen algún efecto visible?</w:t>
      </w:r>
    </w:p>
    <w:p>
      <w:pPr>
        <w:pStyle w:val="ListBullet"/>
        <w:keepLines w:val="1"/>
        <w:widowControl w:val="1"/>
      </w:pPr>
      <w:r>
        <w:t xml:space="preserve">Métrica M3.2: Variación interanual del volumen de vulnerabilidades por CWE prioritaria en organizaciones objetivo. [web:1][web:28][web:9]  </w:t>
      </w:r>
    </w:p>
    <w:p>
      <w:pPr>
        <w:pStyle w:val="Heading3"/>
        <w:keepNext/>
        <w:keepLines/>
      </w:pPr>
      <w:r>
        <w:t>5.4. Indicadores de madurez y adopción de CWE (meta G3 / G4)</w:t>
      </w:r>
    </w:p>
    <w:p>
      <w:pPr>
        <w:pStyle w:val="Heading4"/>
        <w:keepNext/>
        <w:keepLines/>
      </w:pPr>
      <w:r>
        <w:t>5.4.1. G3Q1 – ¿Hasta qué punto CWE está incorporado en normas, contratos y auditorías?</w:t>
      </w:r>
    </w:p>
    <w:p>
      <w:pPr>
        <w:pStyle w:val="ListBullet"/>
        <w:keepLines w:val="1"/>
        <w:keepNext w:val="1"/>
        <w:widowControl w:val="1"/>
      </w:pPr>
      <w:r>
        <w:t xml:space="preserve">Métrica M4.1: Porcentaje de pliegos de contratación TIC públicos que incluyen referencias a CWE como taxonomía o al Top 25 como lista de referencia.  </w:t>
      </w:r>
    </w:p>
    <w:p>
      <w:pPr>
        <w:pStyle w:val="ListBullet"/>
        <w:keepLines w:val="1"/>
        <w:widowControl w:val="1"/>
      </w:pPr>
      <w:r>
        <w:t>Métrica M4.2: Porcentaje de auditorías ENS/ISO/NIS2 que incluyen evaluación explícita del tratamiento de debilidades clasificadas por CWE. [web:9][web:13][web:22]</w:t>
      </w:r>
    </w:p>
    <w:p>
      <w:pPr>
        <w:pStyle w:val="Heading4"/>
        <w:keepNext/>
        <w:keepLines/>
      </w:pPr>
      <w:r>
        <w:t>5.4.2. G4Q1 – ¿Cuál es el grado de integración de CWE en los procesos internos de las organizaciones?</w:t>
      </w:r>
    </w:p>
    <w:p>
      <w:pPr>
        <w:pStyle w:val="ListBullet"/>
        <w:keepLines w:val="1"/>
        <w:keepNext w:val="1"/>
        <w:widowControl w:val="1"/>
      </w:pPr>
      <w:r>
        <w:t xml:space="preserve">Métrica M4.3: Porcentaje de organizaciones que utilizan CWE como taxonomía formal en sus repositorios de vulnerabilidades.  </w:t>
      </w:r>
    </w:p>
    <w:p>
      <w:pPr>
        <w:pStyle w:val="ListBullet"/>
        <w:keepLines w:val="1"/>
        <w:widowControl w:val="1"/>
      </w:pPr>
      <w:r>
        <w:t xml:space="preserve">Métrica M4.4: Porcentaje de organizaciones que mapean sistemáticamente vulnerabilidades a CWE (preguntas de encuesta 3.2 y 3.3 del cuestionario).  </w:t>
      </w:r>
    </w:p>
    <w:p>
      <w:pPr>
        <w:pStyle w:val="Heading4"/>
        <w:keepNext/>
        <w:keepLines/>
      </w:pPr>
      <w:r>
        <w:t>5.4.3. G4Q2 – ¿Cómo evoluciona la capacidad de detección frente a CWE prioritarias?</w:t>
      </w:r>
    </w:p>
    <w:p>
      <w:pPr>
        <w:pStyle w:val="ListBullet"/>
        <w:keepLines w:val="1"/>
        <w:widowControl w:val="1"/>
      </w:pPr>
      <w:r>
        <w:t xml:space="preserve">Métrica M4.5: Porcentaje de herramientas de análisis (SAST/DAST) empleadas por las organizaciones que soportan y reportan CWE, sobre el total de herramientas usadas en el panel. [web:22][web:11]  </w:t>
      </w:r>
    </w:p>
    <w:p>
      <w:pPr>
        <w:pStyle w:val="Heading2"/>
        <w:keepNext/>
        <w:keepLines/>
      </w:pPr>
      <w:r>
        <w:rPr>
          <w:color w:val="0066CC"/>
        </w:rPr>
        <w:t>6. PRAGMATIC aplicado a las métricas CWE</w:t>
      </w:r>
    </w:p>
    <w:p>
      <w:r>
        <w:t>Para cada métrica, se propone una evaluación cualitativa inicial según PRAGMATIC, que podrá ajustarse con experiencia real.</w:t>
      </w:r>
    </w:p>
    <w:p>
      <w:r>
        <w:t>Como ejemplo, para algunas métricas:</w:t>
      </w:r>
    </w:p>
    <w:p>
      <w:pPr>
        <w:pStyle w:val="Heading3"/>
        <w:keepNext/>
        <w:keepLines/>
      </w:pPr>
      <w:r>
        <w:t>M1.1 – % de vulnerabilidades nacionales mapeadas a CWE del Top 25</w:t>
      </w:r>
    </w:p>
    <w:p>
      <w:pPr>
        <w:pStyle w:val="ListBullet"/>
        <w:keepLines w:val="1"/>
        <w:keepNext w:val="1"/>
        <w:widowControl w:val="1"/>
      </w:pPr>
      <w:r>
        <w:t xml:space="preserve">P (Predictivo): Alto – cambios en esta métrica anticipan la evolución de riesgo estructural.  </w:t>
      </w:r>
    </w:p>
    <w:p>
      <w:pPr>
        <w:pStyle w:val="ListBullet"/>
        <w:keepLines w:val="1"/>
        <w:keepNext w:val="1"/>
        <w:widowControl w:val="1"/>
      </w:pPr>
      <w:r>
        <w:t xml:space="preserve">R (Relevante): Alto – directamente alineado con G1.  </w:t>
      </w:r>
    </w:p>
    <w:p>
      <w:pPr>
        <w:pStyle w:val="ListBullet"/>
        <w:keepLines w:val="1"/>
        <w:keepNext w:val="1"/>
        <w:widowControl w:val="1"/>
      </w:pPr>
      <w:r>
        <w:t xml:space="preserve">A (Accionable): Medio‑alto – permite orientar políticas de mitigación sobre debilidades frecuentes.  </w:t>
      </w:r>
    </w:p>
    <w:p>
      <w:pPr>
        <w:pStyle w:val="ListBullet"/>
        <w:keepLines w:val="1"/>
        <w:keepNext w:val="1"/>
        <w:widowControl w:val="1"/>
      </w:pPr>
      <w:r>
        <w:t xml:space="preserve">G (Genuino): Medio – depende de la calidad del mapeo CWE en las fuentes. [web:28][web:22]  </w:t>
      </w:r>
    </w:p>
    <w:p>
      <w:pPr>
        <w:pStyle w:val="ListBullet"/>
        <w:keepLines w:val="1"/>
        <w:keepNext w:val="1"/>
        <w:widowControl w:val="1"/>
      </w:pPr>
      <w:r>
        <w:t xml:space="preserve">M (Significativo): Alto – comprensible para decisores (“concentración del riesgo”).  </w:t>
      </w:r>
    </w:p>
    <w:p>
      <w:pPr>
        <w:pStyle w:val="ListBullet"/>
        <w:keepLines w:val="1"/>
        <w:keepNext w:val="1"/>
        <w:widowControl w:val="1"/>
      </w:pPr>
      <w:r>
        <w:t xml:space="preserve">A (Preciso): Medio – precisión condicionada por la exhaustividad de los registros. [web:27][web:9]  </w:t>
      </w:r>
    </w:p>
    <w:p>
      <w:pPr>
        <w:pStyle w:val="ListBullet"/>
        <w:keepLines w:val="1"/>
        <w:keepNext w:val="1"/>
        <w:widowControl w:val="1"/>
      </w:pPr>
      <w:r>
        <w:t xml:space="preserve">T (Oportuno): Medio – depende de la cadencia de reporte (mensual, trimestral…).  </w:t>
      </w:r>
    </w:p>
    <w:p>
      <w:pPr>
        <w:pStyle w:val="ListBullet"/>
        <w:keepLines w:val="1"/>
        <w:keepNext w:val="1"/>
        <w:widowControl w:val="1"/>
      </w:pPr>
      <w:r>
        <w:t xml:space="preserve">I (Independiente): Medio – el dato lo generan actores que también son evaluados.  </w:t>
      </w:r>
    </w:p>
    <w:p>
      <w:pPr>
        <w:pStyle w:val="ListBullet"/>
        <w:keepLines w:val="1"/>
        <w:widowControl w:val="1"/>
      </w:pPr>
      <w:r>
        <w:t xml:space="preserve">C (Rentable): Medio‑alto – requiere cierta inversión en integración de datos, pero escala bien.  </w:t>
      </w:r>
    </w:p>
    <w:p>
      <w:pPr>
        <w:pStyle w:val="Heading3"/>
        <w:keepNext/>
        <w:keepLines/>
      </w:pPr>
      <w:r>
        <w:t>M3.1 – Tiempo medio de remediación por CWE prioritaria</w:t>
      </w:r>
    </w:p>
    <w:p>
      <w:pPr>
        <w:pStyle w:val="ListBullet"/>
        <w:keepLines w:val="1"/>
        <w:keepNext w:val="1"/>
        <w:widowControl w:val="1"/>
      </w:pPr>
      <w:r>
        <w:t xml:space="preserve">P: Alto – buena capacidad para anticipar ventana de exposición.  </w:t>
      </w:r>
    </w:p>
    <w:p>
      <w:pPr>
        <w:pStyle w:val="ListBullet"/>
        <w:keepLines w:val="1"/>
        <w:keepNext w:val="1"/>
        <w:widowControl w:val="1"/>
      </w:pPr>
      <w:r>
        <w:t xml:space="preserve">R: Alto – directamente alineado con la mejora de respuesta (G2). [web:9][web:14]  </w:t>
      </w:r>
    </w:p>
    <w:p>
      <w:pPr>
        <w:pStyle w:val="ListBullet"/>
        <w:keepLines w:val="1"/>
        <w:keepNext w:val="1"/>
        <w:widowControl w:val="1"/>
      </w:pPr>
      <w:r>
        <w:t xml:space="preserve">A: Alto – señala dónde acelerar procesos, ajustar SLAs, etc.  </w:t>
      </w:r>
    </w:p>
    <w:p>
      <w:pPr>
        <w:pStyle w:val="ListBullet"/>
        <w:keepLines w:val="1"/>
        <w:keepNext w:val="1"/>
        <w:widowControl w:val="1"/>
      </w:pPr>
      <w:r>
        <w:t xml:space="preserve">G: Medio‑alto – las fechas de descubrimiento y cierre suelen estar registradas, aunque con ruido.  </w:t>
      </w:r>
    </w:p>
    <w:p>
      <w:pPr>
        <w:pStyle w:val="ListBullet"/>
        <w:keepLines w:val="1"/>
        <w:keepNext w:val="1"/>
        <w:widowControl w:val="1"/>
      </w:pPr>
      <w:r>
        <w:t xml:space="preserve">M: Alto – la idea de “días hasta parchear” es muy intuitiva.  </w:t>
      </w:r>
    </w:p>
    <w:p>
      <w:pPr>
        <w:pStyle w:val="ListBullet"/>
        <w:keepLines w:val="1"/>
        <w:keepNext w:val="1"/>
        <w:widowControl w:val="1"/>
      </w:pPr>
      <w:r>
        <w:t xml:space="preserve">A (Preciso): Medio – depende de la definición uniforme de hitos (detección, notificación, cierre).  </w:t>
      </w:r>
    </w:p>
    <w:p>
      <w:pPr>
        <w:pStyle w:val="ListBullet"/>
        <w:keepLines w:val="1"/>
        <w:keepNext w:val="1"/>
        <w:widowControl w:val="1"/>
      </w:pPr>
      <w:r>
        <w:t xml:space="preserve">T: Medio – calculable casi en tiempo real si las herramientas están integradas.  </w:t>
      </w:r>
    </w:p>
    <w:p>
      <w:pPr>
        <w:pStyle w:val="ListBullet"/>
        <w:keepLines w:val="1"/>
        <w:keepNext w:val="1"/>
        <w:widowControl w:val="1"/>
      </w:pPr>
      <w:r>
        <w:t xml:space="preserve">I: Medio – riesgo de “forzar” cierres administrativos para mejorar números.  </w:t>
      </w:r>
    </w:p>
    <w:p>
      <w:pPr>
        <w:pStyle w:val="ListBullet"/>
        <w:keepLines w:val="1"/>
        <w:widowControl w:val="1"/>
      </w:pPr>
      <w:r>
        <w:t>C: Medio – requiere cierto esfuerzo de integración, pero utilizable durante años.</w:t>
      </w:r>
    </w:p>
    <w:p>
      <w:r>
        <w:t>En el fichero (b) se plasma esta evaluación de manera sistemática para el conjunto de métricas.</w:t>
      </w:r>
    </w:p>
    <w:p>
      <w:pPr>
        <w:pStyle w:val="Heading2"/>
        <w:keepNext/>
        <w:keepLines/>
      </w:pPr>
      <w:r>
        <w:rPr>
          <w:color w:val="0066CC"/>
        </w:rPr>
        <w:t>7. Uso operativo del marco GQM + PRAGMATIC</w:t>
      </w:r>
    </w:p>
    <w:p>
      <w:pPr>
        <w:pStyle w:val="ListNumber"/>
        <w:keepLines w:val="1"/>
        <w:keepNext w:val="1"/>
        <w:widowControl w:val="1"/>
      </w:pPr>
      <w:r>
        <w:t xml:space="preserve">Definir o revisar las metas nacionales (G) aceptadas por los responsables políticos y técnicos.  </w:t>
      </w:r>
    </w:p>
    <w:p>
      <w:pPr>
        <w:pStyle w:val="ListNumber"/>
        <w:keepLines w:val="1"/>
        <w:keepNext w:val="1"/>
        <w:widowControl w:val="1"/>
      </w:pPr>
      <w:r>
        <w:t xml:space="preserve">Validar el conjunto de preguntas (Q) para asegurar que cubren esas metas sin redundancia innecesaria.  </w:t>
      </w:r>
    </w:p>
    <w:p>
      <w:pPr>
        <w:pStyle w:val="ListNumber"/>
        <w:keepLines w:val="1"/>
        <w:keepNext w:val="1"/>
        <w:widowControl w:val="1"/>
      </w:pPr>
      <w:r>
        <w:t xml:space="preserve">Seleccionar las métricas (M) que sean PRAGMATICamente más sólidas, descartando las que puntúan bajo de forma sistemática. [web:21][web:26][web:24]  </w:t>
      </w:r>
    </w:p>
    <w:p>
      <w:pPr>
        <w:pStyle w:val="ListNumber"/>
        <w:keepLines w:val="1"/>
        <w:keepNext w:val="1"/>
        <w:widowControl w:val="1"/>
      </w:pPr>
      <w:r>
        <w:t xml:space="preserve">Construir cuadros de mando que preserven la trazabilidad: cada gráfico debe poder remontarse a su Q y G.  </w:t>
      </w:r>
    </w:p>
    <w:p>
      <w:pPr>
        <w:pStyle w:val="ListNumber"/>
        <w:keepLines w:val="1"/>
        <w:widowControl w:val="1"/>
      </w:pPr>
      <w:r>
        <w:t>Revisar periódicamente el conjunto de métricas a la luz de la experiencia y de cambios en CWE (metodologías Top 25, nuevos MIHW, etc.). [web:28][web:22]</w:t>
      </w:r>
    </w:p>
    <w:p>
      <w:r>
        <w:t>Si todo va bien, al cabo de unos años tendremos menos indicadores decorativos y más métricas que sirvan para tomar decisiones incómodas, que son generalmente las únicas que mueven la aguja.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