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sobre Indicadores CWE</w:t>
      </w:r>
    </w:p>
    <w:p>
      <w:pPr>
        <w:pStyle w:val="Heading2"/>
        <w:keepNext/>
        <w:keepLines/>
      </w:pPr>
      <w:r>
        <w:rPr>
          <w:color w:val="0066CC"/>
        </w:rPr>
        <w:t>1. Objetivo general</w:t>
      </w:r>
    </w:p>
    <w:p>
      <w:r>
        <w:t>La presente guía describe la metodología para la aplicación, explotación e interpretación de la “Encuesta Integral sobre Indicadores CWE y Gestión de Debilidades de Software y Hardware”. Su propósito es permitir que distintos actores (organismos públicos, asociaciones sectoriales, grupos de investigación y empresas) apliquen la encuesta de forma homogénea y rigurosa, favoreciendo la comparabilidad de resultados.</w:t>
      </w:r>
    </w:p>
    <w:p>
      <w:r>
        <w:t>El marco conceptual se asienta en el uso de CWE como taxonomía estándar para debilidades, combinado con CVE, CVSS y listas priorizadas (Top 25, KEV, MIHW), en línea con las mejores prácticas internacionales.</w:t>
      </w:r>
    </w:p>
    <w:p>
      <w:pPr>
        <w:pStyle w:val="Heading2"/>
        <w:keepNext/>
        <w:keepLines/>
      </w:pPr>
      <w:r>
        <w:rPr>
          <w:color w:val="0066CC"/>
        </w:rPr>
        <w:t>2. Población objetivo y unidades de análisis</w:t>
      </w:r>
    </w:p>
    <w:p>
      <w:r>
        <w:t xml:space="preserve">La unidad de análisis es la </w:t>
      </w:r>
      <w:r>
        <w:rPr>
          <w:b/>
        </w:rPr>
        <w:t>organización</w:t>
      </w:r>
      <w:r>
        <w:t xml:space="preserve"> (empresa, organismo público, entidad sin ánimo de lucro) que gestione sistemas de información relevantes para la prestación de servicios digitales, infraestructuras críticas o tratamiento significativo de datos.</w:t>
      </w:r>
    </w:p>
    <w:p>
      <w:r>
        <w:t>Se recomienda focalizar inicialmente en:</w:t>
      </w:r>
    </w:p>
    <w:p>
      <w:pPr>
        <w:pStyle w:val="ListBullet"/>
        <w:keepLines w:val="1"/>
        <w:keepNext w:val="1"/>
        <w:widowControl w:val="1"/>
      </w:pPr>
      <w:r>
        <w:t>Organismos públicos con sistemas bajo el ENS.</w:t>
      </w:r>
    </w:p>
    <w:p>
      <w:pPr>
        <w:pStyle w:val="ListBullet"/>
        <w:keepLines w:val="1"/>
        <w:keepNext w:val="1"/>
        <w:widowControl w:val="1"/>
      </w:pPr>
      <w:r>
        <w:t>Operadores de servicios esenciales o entidades reguladas bajo NIS2.</w:t>
      </w:r>
    </w:p>
    <w:p>
      <w:pPr>
        <w:pStyle w:val="ListBullet"/>
        <w:keepLines w:val="1"/>
        <w:keepNext w:val="1"/>
        <w:widowControl w:val="1"/>
      </w:pPr>
      <w:r>
        <w:t>Sectores de alta criticidad (sanidad, energía, transporte, finanzas, telecomunicaciones).</w:t>
      </w:r>
    </w:p>
    <w:p>
      <w:pPr>
        <w:pStyle w:val="ListBullet"/>
        <w:keepLines w:val="1"/>
        <w:widowControl w:val="1"/>
      </w:pPr>
      <w:r>
        <w:t>Proveedores tecnológicos clave (desarrolladores de software, integradores, fabricantes de hardware).</w:t>
      </w:r>
    </w:p>
    <w:p>
      <w:r>
        <w:t>Cada cuestionario debe ser cumplimentado por una persona con visibilidad transversal suficiente: CISO, responsable de seguridad, responsable de arquitectura o figura equivalente. Se puede admitir una respuesta conjunta de un pequeño equipo, siempre que se documente.</w:t>
      </w:r>
    </w:p>
    <w:p>
      <w:pPr>
        <w:pStyle w:val="Heading2"/>
        <w:keepNext/>
        <w:keepLines/>
      </w:pPr>
      <w:r>
        <w:rPr>
          <w:color w:val="0066CC"/>
        </w:rPr>
        <w:t>3. Diseño de la encuesta</w:t>
      </w:r>
    </w:p>
    <w:p>
      <w:r>
        <w:t>La encuesta se estructura en 11 bloques:</w:t>
      </w:r>
    </w:p>
    <w:p>
      <w:pPr>
        <w:pStyle w:val="ListNumber"/>
        <w:keepLines w:val="1"/>
        <w:keepNext w:val="1"/>
        <w:widowControl w:val="1"/>
      </w:pPr>
      <w:r>
        <w:t>Datos generales.</w:t>
      </w:r>
    </w:p>
    <w:p>
      <w:pPr>
        <w:pStyle w:val="ListNumber"/>
        <w:keepLines w:val="1"/>
        <w:keepNext w:val="1"/>
        <w:widowControl w:val="1"/>
      </w:pPr>
      <w:r>
        <w:t>Gobierno y estrategia.</w:t>
      </w:r>
    </w:p>
    <w:p>
      <w:pPr>
        <w:pStyle w:val="ListNumber"/>
        <w:keepLines w:val="1"/>
        <w:keepNext w:val="1"/>
        <w:widowControl w:val="1"/>
      </w:pPr>
      <w:r>
        <w:t>Procesos de identificación y clasificación.</w:t>
      </w:r>
    </w:p>
    <w:p>
      <w:pPr>
        <w:pStyle w:val="ListNumber"/>
        <w:keepLines w:val="1"/>
        <w:keepNext w:val="1"/>
        <w:widowControl w:val="1"/>
      </w:pPr>
      <w:r>
        <w:t>Uso de listas CWE priorizadas (Top 25, KEV, MIHW).</w:t>
      </w:r>
    </w:p>
    <w:p>
      <w:pPr>
        <w:pStyle w:val="ListNumber"/>
        <w:keepLines w:val="1"/>
        <w:keepNext w:val="1"/>
        <w:widowControl w:val="1"/>
      </w:pPr>
      <w:r>
        <w:t>Indicadores y métricas internas.</w:t>
      </w:r>
    </w:p>
    <w:p>
      <w:pPr>
        <w:pStyle w:val="ListNumber"/>
        <w:keepLines w:val="1"/>
        <w:keepNext w:val="1"/>
        <w:widowControl w:val="1"/>
      </w:pPr>
      <w:r>
        <w:t>Integración en el ciclo de vida de desarrollo.</w:t>
      </w:r>
    </w:p>
    <w:p>
      <w:pPr>
        <w:pStyle w:val="ListNumber"/>
        <w:keepLines w:val="1"/>
        <w:keepNext w:val="1"/>
        <w:widowControl w:val="1"/>
      </w:pPr>
      <w:r>
        <w:t>Gestión de riesgos y cumplimiento normativo.</w:t>
      </w:r>
    </w:p>
    <w:p>
      <w:pPr>
        <w:pStyle w:val="ListNumber"/>
        <w:keepLines w:val="1"/>
        <w:keepNext w:val="1"/>
        <w:widowControl w:val="1"/>
      </w:pPr>
      <w:r>
        <w:t>Capacidades, formación y cultura.</w:t>
      </w:r>
    </w:p>
    <w:p>
      <w:pPr>
        <w:pStyle w:val="ListNumber"/>
        <w:keepLines w:val="1"/>
        <w:keepNext w:val="1"/>
        <w:widowControl w:val="1"/>
      </w:pPr>
      <w:r>
        <w:t>Tecnología, herramientas y datos.</w:t>
      </w:r>
    </w:p>
    <w:p>
      <w:pPr>
        <w:pStyle w:val="ListNumber"/>
        <w:keepLines w:val="1"/>
        <w:keepNext w:val="1"/>
        <w:widowControl w:val="1"/>
      </w:pPr>
      <w:r>
        <w:t>Perspectiva futura, inversión e impacto.</w:t>
      </w:r>
    </w:p>
    <w:p>
      <w:pPr>
        <w:pStyle w:val="ListNumber"/>
        <w:keepLines w:val="1"/>
        <w:widowControl w:val="1"/>
      </w:pPr>
      <w:r>
        <w:t>Comentarios abiertos.</w:t>
      </w:r>
    </w:p>
    <w:p>
      <w:r>
        <w:t>La mayoría de preguntas son cerradas (opción única o múltiple) para facilitar el análisis estadístico, pero se incluyen campos abiertos estratégicamente para captar matices y casos de uso singulares.</w:t>
      </w:r>
    </w:p>
    <w:p>
      <w:pPr>
        <w:pStyle w:val="Heading2"/>
        <w:keepNext/>
        <w:keepLines/>
      </w:pPr>
      <w:r>
        <w:rPr>
          <w:color w:val="0066CC"/>
        </w:rPr>
        <w:t>4. Modalidad de recogida de datos</w:t>
      </w:r>
    </w:p>
    <w:p>
      <w:r>
        <w:t>Se recomienda aplicar la encuesta mediante:</w:t>
      </w:r>
    </w:p>
    <w:p>
      <w:pPr>
        <w:pStyle w:val="ListBullet"/>
        <w:keepLines w:val="1"/>
        <w:keepNext w:val="1"/>
        <w:widowControl w:val="1"/>
      </w:pPr>
      <w:r>
        <w:t>Cuestionario en línea (formularios web o herramientas de survey profesionales).</w:t>
      </w:r>
    </w:p>
    <w:p>
      <w:pPr>
        <w:pStyle w:val="ListBullet"/>
        <w:keepLines w:val="1"/>
        <w:widowControl w:val="1"/>
      </w:pPr>
      <w:r>
        <w:t>Entrevistas semiestructuradas, en organizaciones clave, usando el cuestionario como guion.</w:t>
      </w:r>
    </w:p>
    <w:p>
      <w:r>
        <w:t>Para maximizar la calidad de las respuestas:</w:t>
      </w:r>
    </w:p>
    <w:p>
      <w:pPr>
        <w:pStyle w:val="ListBullet"/>
        <w:keepLines w:val="1"/>
        <w:keepNext w:val="1"/>
        <w:widowControl w:val="1"/>
      </w:pPr>
      <w:r>
        <w:t>Anticipar a las organizaciones el contenido general y el tiempo estimado (20–30 minutos).</w:t>
      </w:r>
    </w:p>
    <w:p>
      <w:pPr>
        <w:pStyle w:val="ListBullet"/>
        <w:keepLines w:val="1"/>
        <w:keepNext w:val="1"/>
        <w:widowControl w:val="1"/>
      </w:pPr>
      <w:r>
        <w:t>Asegurar la confidencialidad y explicar el uso exclusivo de los datos para análisis agregados.</w:t>
      </w:r>
    </w:p>
    <w:p>
      <w:pPr>
        <w:pStyle w:val="ListBullet"/>
        <w:keepLines w:val="1"/>
        <w:widowControl w:val="1"/>
      </w:pPr>
      <w:r>
        <w:t>Ofrecer a cada organización un breve informe de retorno (benchmark anónimo) como incentivo.</w:t>
      </w:r>
    </w:p>
    <w:p>
      <w:pPr>
        <w:pStyle w:val="Heading2"/>
        <w:keepNext/>
        <w:keepLines/>
      </w:pPr>
      <w:r>
        <w:rPr>
          <w:color w:val="0066CC"/>
        </w:rPr>
        <w:t>5. Codificación y tratamiento de las respuestas</w:t>
      </w:r>
    </w:p>
    <w:p>
      <w:pPr>
        <w:pStyle w:val="Heading3"/>
        <w:keepNext/>
        <w:keepLines/>
      </w:pPr>
      <w:r>
        <w:t>5.1. Codificación de preguntas cerradas</w:t>
      </w:r>
    </w:p>
    <w:p>
      <w:r>
        <w:t>Cada respuesta cerrada debe codificarse numéricamente. Por ejemplo:</w:t>
      </w:r>
    </w:p>
    <w:p>
      <w:pPr>
        <w:pStyle w:val="ListBullet"/>
        <w:keepLines w:val="1"/>
        <w:keepNext w:val="1"/>
        <w:widowControl w:val="1"/>
      </w:pPr>
      <w:r>
        <w:t>Escalas de frecuencia (Nunca, Raramente, A veces, Frecuentemente, Siempre) → 1–5.</w:t>
      </w:r>
    </w:p>
    <w:p>
      <w:pPr>
        <w:pStyle w:val="ListBullet"/>
        <w:keepLines w:val="1"/>
        <w:keepNext w:val="1"/>
        <w:widowControl w:val="1"/>
      </w:pPr>
      <w:r>
        <w:t>Grado de madurez (No existe, Inicial, Parcial, Definido, Optimizado) → 0–4.</w:t>
      </w:r>
    </w:p>
    <w:p>
      <w:pPr>
        <w:pStyle w:val="ListBullet"/>
        <w:keepLines w:val="1"/>
        <w:widowControl w:val="1"/>
      </w:pPr>
      <w:r>
        <w:t>Grado de acuerdo (Totalmente en desacuerdo → 1, Totalmente de acuerdo → 5).</w:t>
      </w:r>
    </w:p>
    <w:p>
      <w:r>
        <w:t>La codificación debe documentarse en un diccionario de datos central, que se compartirá con todos los equipos de análisis.</w:t>
      </w:r>
    </w:p>
    <w:p>
      <w:pPr>
        <w:pStyle w:val="Heading3"/>
        <w:keepNext/>
        <w:keepLines/>
      </w:pPr>
      <w:r>
        <w:t>5.2. Preguntas de selección múltiple</w:t>
      </w:r>
    </w:p>
    <w:p>
      <w:r>
        <w:t>Las preguntas de selección múltiple se codificarán mediante variables binarias (sí/no) por opción, o mediante un esquema de multirrespuesta, según el software utilizado.</w:t>
      </w:r>
    </w:p>
    <w:p>
      <w:pPr>
        <w:pStyle w:val="Heading3"/>
        <w:keepNext/>
        <w:keepLines/>
      </w:pPr>
      <w:r>
        <w:t>5.3. Respuestas abiertas</w:t>
      </w:r>
    </w:p>
    <w:p>
      <w:r>
        <w:t>Las respuestas abiertas pueden ser objeto de análisis cualitativo (codificación temática) y, en la medida de lo posible, se pueden mapear a categorías CWE o factores organizativos.</w:t>
      </w:r>
    </w:p>
    <w:p>
      <w:pPr>
        <w:pStyle w:val="Heading2"/>
        <w:keepNext/>
        <w:keepLines/>
      </w:pPr>
      <w:r>
        <w:rPr>
          <w:color w:val="0066CC"/>
        </w:rPr>
        <w:t>6. Indicadores derivados (IGM y otros índices)</w:t>
      </w:r>
    </w:p>
    <w:p>
      <w:r>
        <w:t xml:space="preserve">Aunque la encuesta no exige a las organizaciones calcular nada durante el llenado, sus respuestas permiten construir varios índices agregados, entre ellos el </w:t>
      </w:r>
      <w:r>
        <w:rPr>
          <w:b/>
        </w:rPr>
        <w:t>Índice de Gestión de Debilidades (IGM)</w:t>
      </w:r>
      <w:r>
        <w:t>.</w:t>
      </w:r>
    </w:p>
    <w:p>
      <w:pPr>
        <w:pStyle w:val="Heading3"/>
        <w:keepNext/>
        <w:keepLines/>
      </w:pPr>
      <w:r>
        <w:t>6.1. Índice de Gestión de Debilidades (IGM)</w:t>
      </w:r>
    </w:p>
    <w:p>
      <w:r>
        <w:t>El IGM pretende capturar, en una escala normalizada, el grado de madurez de la organización en:</w:t>
      </w:r>
    </w:p>
    <w:p>
      <w:pPr>
        <w:pStyle w:val="ListBullet"/>
        <w:keepLines w:val="1"/>
        <w:keepNext w:val="1"/>
        <w:widowControl w:val="1"/>
      </w:pPr>
      <w:r>
        <w:t>Incorporación de CWE como taxonomía.</w:t>
      </w:r>
    </w:p>
    <w:p>
      <w:pPr>
        <w:pStyle w:val="ListBullet"/>
        <w:keepLines w:val="1"/>
        <w:keepNext w:val="1"/>
        <w:widowControl w:val="1"/>
      </w:pPr>
      <w:r>
        <w:t>Uso de métricas basadas en debilidades (prevalencia, tiempo de remediación, tendencias).</w:t>
      </w:r>
    </w:p>
    <w:p>
      <w:pPr>
        <w:pStyle w:val="ListBullet"/>
        <w:keepLines w:val="1"/>
        <w:keepNext w:val="1"/>
        <w:widowControl w:val="1"/>
      </w:pPr>
      <w:r>
        <w:t>Integración en procesos de desarrollo, operación y gestión de riesgos.</w:t>
      </w:r>
    </w:p>
    <w:p>
      <w:pPr>
        <w:pStyle w:val="ListBullet"/>
        <w:keepLines w:val="1"/>
        <w:widowControl w:val="1"/>
      </w:pPr>
      <w:r>
        <w:t>Integración en gobierno, cumplimiento y reporte a la alta dirección.</w:t>
      </w:r>
    </w:p>
    <w:p>
      <w:r>
        <w:t>Metodología sugerida:</w:t>
      </w:r>
    </w:p>
    <w:p>
      <w:pPr>
        <w:pStyle w:val="ListNumber"/>
        <w:keepLines w:val="1"/>
        <w:keepNext w:val="1"/>
        <w:widowControl w:val="1"/>
      </w:pPr>
      <w:r>
        <w:t>Seleccionar un conjunto de preguntas clave que representen estos aspectos.</w:t>
      </w:r>
    </w:p>
    <w:p>
      <w:pPr>
        <w:pStyle w:val="ListNumber"/>
        <w:keepLines w:val="1"/>
        <w:keepNext w:val="1"/>
        <w:widowControl w:val="1"/>
      </w:pPr>
      <w:r>
        <w:t>Asignar pesos (w_i) a cada pregunta, según su relevancia.</w:t>
      </w:r>
    </w:p>
    <w:p>
      <w:pPr>
        <w:pStyle w:val="ListNumber"/>
        <w:keepLines w:val="1"/>
        <w:keepNext w:val="1"/>
        <w:widowControl w:val="1"/>
      </w:pPr>
      <w:r>
        <w:t>Normalizar las respuestas (r_i) a una escala homogénea (por ejemplo, 0–1).</w:t>
      </w:r>
    </w:p>
    <w:p>
      <w:pPr>
        <w:pStyle w:val="ListNumber"/>
        <w:keepLines w:val="1"/>
        <w:keepNext w:val="1"/>
        <w:widowControl w:val="1"/>
      </w:pPr>
      <w:r>
        <w:t>Calcular IGM = Σ (w_i * r_i).</w:t>
      </w:r>
    </w:p>
    <w:p>
      <w:pPr>
        <w:pStyle w:val="ListNumber"/>
        <w:keepLines w:val="1"/>
        <w:widowControl w:val="1"/>
      </w:pPr>
      <w:r>
        <w:t>Escalar el resultado a una escala 0–100 para facilitar la interpretación.</w:t>
      </w:r>
    </w:p>
    <w:p>
      <w:r>
        <w:t>Los pesos pueden definirse por consenso de un panel de expertos o mediante análisis estadístico (p.ej., análisis factorial), una vez se disponga de datos suficientes.</w:t>
      </w:r>
    </w:p>
    <w:p>
      <w:pPr>
        <w:pStyle w:val="Heading3"/>
        <w:keepNext/>
        <w:keepLines/>
      </w:pPr>
      <w:r>
        <w:t>6.2. Otros indicadores relevantes</w:t>
      </w:r>
    </w:p>
    <w:p>
      <w:r>
        <w:t>La encuesta permite construir indicadores como:</w:t>
      </w:r>
    </w:p>
    <w:p>
      <w:pPr>
        <w:pStyle w:val="ListBullet"/>
        <w:keepLines w:val="1"/>
        <w:keepNext w:val="1"/>
        <w:widowControl w:val="1"/>
      </w:pPr>
      <w:r>
        <w:t>Porcentaje de organizaciones que utilizan CWE como taxonomía formal.</w:t>
      </w:r>
    </w:p>
    <w:p>
      <w:pPr>
        <w:pStyle w:val="ListBullet"/>
        <w:keepLines w:val="1"/>
        <w:keepNext w:val="1"/>
        <w:widowControl w:val="1"/>
      </w:pPr>
      <w:r>
        <w:t>Porcentaje que mapea sistemáticamente vulnerabilidades a CWE.</w:t>
      </w:r>
    </w:p>
    <w:p>
      <w:pPr>
        <w:pStyle w:val="ListBullet"/>
        <w:keepLines w:val="1"/>
        <w:keepNext w:val="1"/>
        <w:widowControl w:val="1"/>
      </w:pPr>
      <w:r>
        <w:t>Proporción que utiliza el Top 25, KEV y MIHW.</w:t>
      </w:r>
    </w:p>
    <w:p>
      <w:pPr>
        <w:pStyle w:val="ListBullet"/>
        <w:keepLines w:val="1"/>
        <w:keepNext w:val="1"/>
        <w:widowControl w:val="1"/>
      </w:pPr>
      <w:r>
        <w:t>Porcentaje que dispone de métricas internas basadas en CWE.</w:t>
      </w:r>
    </w:p>
    <w:p>
      <w:pPr>
        <w:pStyle w:val="ListBullet"/>
        <w:keepLines w:val="1"/>
        <w:widowControl w:val="1"/>
      </w:pPr>
      <w:r>
        <w:t>Grado de integración de CWE en análisis de riesgos, cumplimiento y reporte.</w:t>
      </w:r>
    </w:p>
    <w:p>
      <w:r>
        <w:t>Estos indicadores pueden desagregarse por sector, tamaño, tipo de sistemas críticos, etc.</w:t>
      </w:r>
    </w:p>
    <w:p>
      <w:pPr>
        <w:pStyle w:val="Heading2"/>
        <w:keepNext/>
        <w:keepLines/>
      </w:pPr>
      <w:r>
        <w:rPr>
          <w:color w:val="0066CC"/>
        </w:rPr>
        <w:t>7. Cálculo del ROI en iniciativas CWE</w:t>
      </w:r>
    </w:p>
    <w:p>
      <w:r>
        <w:t xml:space="preserve">Los datos de la sección 10 (impacto e inversión) permiten alimentar modelos de </w:t>
      </w:r>
      <w:r>
        <w:rPr>
          <w:b/>
        </w:rPr>
        <w:t>retorno de la inversión (ROI)</w:t>
      </w:r>
      <w:r>
        <w:t xml:space="preserve"> de iniciativas orientadas a mejorar la gestión de debilidades. Aunque la encuesta por sí sola no produce cifras monetarias precisas, proporciona:</w:t>
      </w:r>
    </w:p>
    <w:p>
      <w:pPr>
        <w:pStyle w:val="ListBullet"/>
        <w:keepLines w:val="1"/>
        <w:keepNext w:val="1"/>
        <w:widowControl w:val="1"/>
      </w:pPr>
      <w:r>
        <w:t>La existencia (o ausencia) de modelos internos de coste de incidentes.</w:t>
      </w:r>
    </w:p>
    <w:p>
      <w:pPr>
        <w:pStyle w:val="ListBullet"/>
        <w:keepLines w:val="1"/>
        <w:keepNext w:val="1"/>
        <w:widowControl w:val="1"/>
      </w:pPr>
      <w:r>
        <w:t>La percepción de impacto de la mejora en CWE sobre la resiliencia.</w:t>
      </w:r>
    </w:p>
    <w:p>
      <w:pPr>
        <w:pStyle w:val="ListBullet"/>
        <w:keepLines w:val="1"/>
        <w:widowControl w:val="1"/>
      </w:pPr>
      <w:r>
        <w:t>La tendencia prevista de inversión.</w:t>
      </w:r>
    </w:p>
    <w:p>
      <w:r>
        <w:t>Estos datos pueden combinarse con estudios sectoriales o modelos actuariales para estimar beneficios económicos (reducción de incidentes, tiempo de inactividad, pérdidas reputacionales) asociados a mejoras en IGM.</w:t>
      </w:r>
    </w:p>
    <w:p>
      <w:pPr>
        <w:pStyle w:val="Heading2"/>
        <w:keepNext/>
        <w:keepLines/>
      </w:pPr>
      <w:r>
        <w:rPr>
          <w:color w:val="0066CC"/>
        </w:rPr>
        <w:t>8. Fiabilidad, validez y sesgos</w:t>
      </w:r>
    </w:p>
    <w:p>
      <w:pPr>
        <w:pStyle w:val="Heading3"/>
        <w:keepNext/>
        <w:keepLines/>
      </w:pPr>
      <w:r>
        <w:t>8.1. Fiabilidad</w:t>
      </w:r>
    </w:p>
    <w:p>
      <w:r>
        <w:t>La fiabilidad se refuerza mediante:</w:t>
      </w:r>
    </w:p>
    <w:p>
      <w:pPr>
        <w:pStyle w:val="ListBullet"/>
        <w:keepLines w:val="1"/>
        <w:keepNext w:val="1"/>
        <w:widowControl w:val="1"/>
      </w:pPr>
      <w:r>
        <w:t>Preguntas claras y no ambiguas.</w:t>
      </w:r>
    </w:p>
    <w:p>
      <w:pPr>
        <w:pStyle w:val="ListBullet"/>
        <w:keepLines w:val="1"/>
        <w:keepNext w:val="1"/>
        <w:widowControl w:val="1"/>
      </w:pPr>
      <w:r>
        <w:t>Escalas coherentes en todo el cuestionario.</w:t>
      </w:r>
    </w:p>
    <w:p>
      <w:pPr>
        <w:pStyle w:val="ListBullet"/>
        <w:keepLines w:val="1"/>
        <w:widowControl w:val="1"/>
      </w:pPr>
      <w:r>
        <w:t>Instrucciones precisas al encuestado.</w:t>
      </w:r>
    </w:p>
    <w:p>
      <w:r>
        <w:t>Se recomienda realizar una prueba piloto con un grupo reducido de organizaciones para detectar problemas de interpretación.</w:t>
      </w:r>
    </w:p>
    <w:p>
      <w:pPr>
        <w:pStyle w:val="Heading3"/>
        <w:keepNext/>
        <w:keepLines/>
      </w:pPr>
      <w:r>
        <w:t>8.2. Validez</w:t>
      </w:r>
    </w:p>
    <w:p>
      <w:r>
        <w:t>La validez de contenido se asegura al haber construido el cuestionario a partir de marcos reconocidos internacionalmente (CWE, CVE, CVSS, KEV, MIHW, informes ENISA, etc.). La validez de constructo puede explorarse a posteriori mediante análisis estadístico (por ejemplo, correlaciones entre respuestas y resultados observados).</w:t>
      </w:r>
    </w:p>
    <w:p>
      <w:pPr>
        <w:pStyle w:val="Heading3"/>
        <w:keepNext/>
        <w:keepLines/>
      </w:pPr>
      <w:r>
        <w:t>8.3. Sesgos esperables</w:t>
      </w:r>
    </w:p>
    <w:p>
      <w:r>
        <w:t>Cabe esperar, con toda honestidad científica, que algunas organizaciones respondan de forma más optimista que su realidad, especialmente en temas de madurez. Para mitigar este sesgo:</w:t>
      </w:r>
    </w:p>
    <w:p>
      <w:pPr>
        <w:pStyle w:val="ListBullet"/>
        <w:keepLines w:val="1"/>
        <w:keepNext w:val="1"/>
        <w:widowControl w:val="1"/>
      </w:pPr>
      <w:r>
        <w:t>Insistir en la confidencialidad y el uso agregado.</w:t>
      </w:r>
    </w:p>
    <w:p>
      <w:pPr>
        <w:pStyle w:val="ListBullet"/>
        <w:keepLines w:val="1"/>
        <w:keepNext w:val="1"/>
        <w:widowControl w:val="1"/>
      </w:pPr>
      <w:r>
        <w:t>Enfatizar que el objetivo es diagnóstico, no punitivo.</w:t>
      </w:r>
    </w:p>
    <w:p>
      <w:pPr>
        <w:pStyle w:val="ListBullet"/>
        <w:keepLines w:val="1"/>
        <w:widowControl w:val="1"/>
      </w:pPr>
      <w:r>
        <w:t>Contrastar, cuando sea posible, resultados de la encuesta con indicadores observables (por ejemplo, incidentes reportados públicamente).</w:t>
      </w:r>
    </w:p>
    <w:p>
      <w:pPr>
        <w:pStyle w:val="Heading2"/>
        <w:keepNext/>
        <w:keepLines/>
      </w:pPr>
      <w:r>
        <w:rPr>
          <w:color w:val="0066CC"/>
        </w:rPr>
        <w:t>9. Recomendaciones para la interpretación de resultados</w:t>
      </w:r>
    </w:p>
    <w:p>
      <w:pPr>
        <w:pStyle w:val="ListBullet"/>
        <w:keepLines w:val="1"/>
        <w:keepNext w:val="1"/>
        <w:widowControl w:val="1"/>
      </w:pPr>
      <w:r>
        <w:t>Evitar comparar organizaciones individuales sin tener en cuenta su contexto (sector, tamaño, criticidad).</w:t>
      </w:r>
    </w:p>
    <w:p>
      <w:pPr>
        <w:pStyle w:val="ListBullet"/>
        <w:keepLines w:val="1"/>
        <w:keepNext w:val="1"/>
        <w:widowControl w:val="1"/>
      </w:pPr>
      <w:r>
        <w:t>Utilizar los resultados para identificar patrones: por ejemplo, sectores donde el uso de CWE está más avanzado, o tamaños de organización con mayores dificultades.</w:t>
      </w:r>
    </w:p>
    <w:p>
      <w:pPr>
        <w:pStyle w:val="ListBullet"/>
        <w:keepLines w:val="1"/>
        <w:keepNext w:val="1"/>
        <w:widowControl w:val="1"/>
      </w:pPr>
      <w:r>
        <w:t>Priorizar la lectura de tendencias: a medida que se repita la encuesta en años sucesivos, la variación puede ser más informativa que el nivel absoluto.</w:t>
      </w:r>
    </w:p>
    <w:p>
      <w:pPr>
        <w:pStyle w:val="ListBullet"/>
        <w:keepLines w:val="1"/>
        <w:widowControl w:val="1"/>
      </w:pPr>
      <w:r>
        <w:t>No confundir el IGM con “nivel de seguridad”: se trata de un índice de madurez en gestión de debilidades, que es un componente, no el todo.</w:t>
      </w:r>
    </w:p>
    <w:p>
      <w:pPr>
        <w:pStyle w:val="Heading2"/>
        <w:keepNext/>
        <w:keepLines/>
      </w:pPr>
      <w:r>
        <w:rPr>
          <w:color w:val="0066CC"/>
        </w:rPr>
        <w:t>10. Frecuencia de aplicación y evolución de la encuesta</w:t>
      </w:r>
    </w:p>
    <w:p>
      <w:r>
        <w:t>Se recomienda aplicar la encuesta con periodicidad anual o bienal. Ello permite:</w:t>
      </w:r>
    </w:p>
    <w:p>
      <w:pPr>
        <w:pStyle w:val="ListBullet"/>
        <w:keepLines w:val="1"/>
        <w:keepNext w:val="1"/>
        <w:widowControl w:val="1"/>
      </w:pPr>
      <w:r>
        <w:t>Medir la evolución de la madurez en gestión de debilidades.</w:t>
      </w:r>
    </w:p>
    <w:p>
      <w:pPr>
        <w:pStyle w:val="ListBullet"/>
        <w:keepLines w:val="1"/>
        <w:widowControl w:val="1"/>
      </w:pPr>
      <w:r>
        <w:t>Ajustar las preguntas para reflejar nuevas tendencias (por ejemplo, nuevas vistas de CWE, cambios en la metodología del Top 25, nuevos marcos regulatorios).</w:t>
      </w:r>
    </w:p>
    <w:p>
      <w:r>
        <w:t>Se debe mantener un equilibrio saludable entre estabilidad (para series históricas) y actualización (para no ignorar la realidad cambiante de la tecnología y la regulación).</w:t>
      </w:r>
    </w:p>
    <w:p>
      <w:pPr>
        <w:pStyle w:val="Heading2"/>
        <w:keepNext/>
        <w:keepLines/>
      </w:pPr>
      <w:r>
        <w:rPr>
          <w:color w:val="0066CC"/>
        </w:rPr>
        <w:t>11. Créditos, licenciamiento y uso</w:t>
      </w:r>
    </w:p>
    <w:p>
      <w:r>
        <w:t>Esta guía y el cuestionario asociado pueden utilizarse y adaptarse libremente en contextos de investigación, políticas públicas o programas sectoriales, siempre que se reconozca la autoría y se evite presentarlos como un estándar oficial sin el correspondiente proceso institucional.</w:t>
      </w:r>
    </w:p>
    <w:p>
      <w:r>
        <w:t>La ironía y la prosa literaria son opcionales, pero recomendables para recordar que, incluso entre CWE y CVE, hay vida inteligente.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