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Completa para Métricas CWE</w:t>
      </w:r>
    </w:p>
    <w:p>
      <w:pPr>
        <w:pStyle w:val="Heading2"/>
        <w:keepNext/>
        <w:keepLines/>
      </w:pPr>
      <w:r>
        <w:rPr>
          <w:color w:val="0066CC"/>
        </w:rPr>
        <w:t>1. Introducción</w:t>
      </w:r>
    </w:p>
    <w:p>
      <w:r>
        <w:t>Esta matriz aplica los criterios PRAGMATIC a un conjunto representativo de métricas propuestas para el marco nacional de indicadores CWE, siguiendo la estructura GQM. [web:21][web:26][web:16][web:24]</w:t>
      </w:r>
    </w:p>
    <w:p>
      <w:r>
        <w:t>Se emplea una escala sencilla:</w:t>
      </w:r>
    </w:p>
    <w:p>
      <w:pPr>
        <w:pStyle w:val="ListBullet"/>
        <w:keepLines w:val="1"/>
        <w:keepNext w:val="1"/>
        <w:widowControl w:val="1"/>
      </w:pPr>
      <w:r>
        <w:t xml:space="preserve">A – Alto  </w:t>
      </w:r>
    </w:p>
    <w:p>
      <w:pPr>
        <w:pStyle w:val="ListBullet"/>
        <w:keepLines w:val="1"/>
        <w:keepNext w:val="1"/>
        <w:widowControl w:val="1"/>
      </w:pPr>
      <w:r>
        <w:t xml:space="preserve">M – Medio  </w:t>
      </w:r>
    </w:p>
    <w:p>
      <w:pPr>
        <w:pStyle w:val="ListBullet"/>
        <w:keepLines w:val="1"/>
        <w:widowControl w:val="1"/>
      </w:pPr>
      <w:r>
        <w:t xml:space="preserve">B – Bajo  </w:t>
      </w:r>
    </w:p>
    <w:p>
      <w:r>
        <w:t>Para usos más formales se puede traducir a números (por ejemplo, 3, 2, 1) y sumar un “score PRAGMATIC” por métrica.</w:t>
      </w:r>
    </w:p>
    <w:p>
      <w:pPr>
        <w:pStyle w:val="Heading2"/>
        <w:keepNext/>
        <w:keepLines/>
      </w:pPr>
      <w:r>
        <w:rPr>
          <w:color w:val="0066CC"/>
        </w:rPr>
        <w:t>2. Tabla de evaluación PRAGMATIC</w:t>
      </w:r>
    </w:p>
    <w:p>
      <w:pPr>
        <w:pStyle w:val="Heading3"/>
        <w:keepNext/>
        <w:keepLines/>
      </w:pPr>
      <w:r>
        <w:t>2.1. Leyenda de criterios</w:t>
      </w:r>
    </w:p>
    <w:p>
      <w:pPr>
        <w:pStyle w:val="ListBullet"/>
        <w:keepLines w:val="1"/>
        <w:keepNext w:val="1"/>
        <w:widowControl w:val="1"/>
      </w:pPr>
      <w:r>
        <w:t xml:space="preserve">P: Predictivo  </w:t>
      </w:r>
    </w:p>
    <w:p>
      <w:pPr>
        <w:pStyle w:val="ListBullet"/>
        <w:keepLines w:val="1"/>
        <w:keepNext w:val="1"/>
        <w:widowControl w:val="1"/>
      </w:pPr>
      <w:r>
        <w:t xml:space="preserve">R: Relevante  </w:t>
      </w:r>
    </w:p>
    <w:p>
      <w:pPr>
        <w:pStyle w:val="ListBullet"/>
        <w:keepLines w:val="1"/>
        <w:keepNext w:val="1"/>
        <w:widowControl w:val="1"/>
      </w:pPr>
      <w:r>
        <w:t xml:space="preserve">A: Accionable  </w:t>
      </w:r>
    </w:p>
    <w:p>
      <w:pPr>
        <w:pStyle w:val="ListBullet"/>
        <w:keepLines w:val="1"/>
        <w:keepNext w:val="1"/>
        <w:widowControl w:val="1"/>
      </w:pPr>
      <w:r>
        <w:t xml:space="preserve">G: Genuino  </w:t>
      </w:r>
    </w:p>
    <w:p>
      <w:pPr>
        <w:pStyle w:val="ListBullet"/>
        <w:keepLines w:val="1"/>
        <w:keepNext w:val="1"/>
        <w:widowControl w:val="1"/>
      </w:pPr>
      <w:r>
        <w:t xml:space="preserve">M: Significativo  </w:t>
      </w:r>
    </w:p>
    <w:p>
      <w:pPr>
        <w:pStyle w:val="ListBullet"/>
        <w:keepLines w:val="1"/>
        <w:keepNext w:val="1"/>
        <w:widowControl w:val="1"/>
      </w:pPr>
      <w:r>
        <w:t xml:space="preserve">A2: Preciso (Accurate)  </w:t>
      </w:r>
    </w:p>
    <w:p>
      <w:pPr>
        <w:pStyle w:val="ListBullet"/>
        <w:keepLines w:val="1"/>
        <w:keepNext w:val="1"/>
        <w:widowControl w:val="1"/>
      </w:pPr>
      <w:r>
        <w:t xml:space="preserve">T: Oportuno (Timely)  </w:t>
      </w:r>
    </w:p>
    <w:p>
      <w:pPr>
        <w:pStyle w:val="ListBullet"/>
        <w:keepLines w:val="1"/>
        <w:keepNext w:val="1"/>
        <w:widowControl w:val="1"/>
      </w:pPr>
      <w:r>
        <w:t xml:space="preserve">I: Independiente  </w:t>
      </w:r>
    </w:p>
    <w:p>
      <w:pPr>
        <w:pStyle w:val="ListBullet"/>
        <w:keepLines w:val="1"/>
        <w:widowControl w:val="1"/>
      </w:pPr>
      <w:r>
        <w:t xml:space="preserve">C: Rentable (Cost‑effective)  </w:t>
      </w:r>
    </w:p>
    <w:p>
      <w:pPr>
        <w:pStyle w:val="Heading3"/>
        <w:keepNext/>
        <w:keepLines/>
      </w:pPr>
      <w:r>
        <w:t>2.2. Matriz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cantSplit w:val="1"/>
        </w:trPr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breve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A2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Comentarios clave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M1.1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de vulnerabilidades nacionales mapeadas a CWE Top 25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Necesita repositorio nacional con campos CWE y referencia a Top 25 anual. [web:28][web:27][web:9]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M1.2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Distribución % de vulnerabilidades por CWE Top 25 y sector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Permite detectar perfiles de debilidades sectoriales; requiere buena clasificación sectorial. [web:9][web:14]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M1.3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Ranking de las 10 CWE más frecuentes por sector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Atractiva para comunicación; sensibilidad a calidad de datos de base.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M1.4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de debilidades de diseño frente a implementación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Depende de uso consistente de vistas de CWE (p.ej., CWE‑1000). [web:7][web:22]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M2.1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CVSS medio por CWE en activos nacionales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Buena para priorizar clases de debilidades, pero exige CVSS consistente. [web:9][web:28]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M2.2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de vulnerabilidades asociadas a CWE presentes en KEV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Muy útil para priorización táctica; dependiente de la calidad KEV y del mapeo. [web:2][web:9]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M3.1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Tiempo medio de remediación por CWE prioritaria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Puede sesgarse si se “cierran” tickets de manera artificial; requiere definición uniforme de hitos. [web:9][web:14]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M3.2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Variación interanual del volumen de vulnerabilidades por CWE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Predecible y relevante, pero sensible a cambios en capacidad de detección. [web:1][web:28]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M4.1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de pliegos TIC públicos que mencionan CWE/Top 25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Genuino respecto a madurez regulatoria, pero limitado como predictor técnico.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M4.2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de auditorías ENS/ISO/NIS2 que evalúan CWE explícitamente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Depende de criterios de auditor; útil para gobernanza, menos para riesgo inmediato.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M4.3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de organizaciones que usan CWE como taxonomía formal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Indicador de adopción cultural; se basa en autodeclaración de encuesta.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M4.4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que mapean sistemáticamente vulnerabilidades a CWE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Muy accionable (se puede exigir en contratos), pero depende de sinceridad de respuestas.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M4.5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de herramientas de seguridad que soportan CWE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Fácil de medir vía inventario; muestra capacidad técnica instalada. [web:22][web:11]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M5.1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IGM (Índice de Gestión de Debilidades) medio nacional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Métrica compuesta; su utilidad depende fuertemente del diseño y pesos.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M5.2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Dispersión del IGM por sector (varianza)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Sirve para ver desigualdad de madurez; menos intuitiva para decisores no técnicos.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M6.1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Nº medio de debilidades CWE por aplicación crítica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Difícil de obtener a gran escala; útil en estudios sectoriales concretos.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M6.2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de proyectos con revisión de arquitectura centrada en CWE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Métrica de proceso; buena para madurez, pobre predictor directo de incidentes.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M7.1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de incidentes críticos asociados a CWE del Top 25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Muy potente para ilustrar la “materialización” de debilidades; precisa buena taxonomía de incidentes.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M7.2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de incidentes con raíz en debilidades de diseño vs. implementación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Requiere buen análisis post mortem; difícil de automatizar.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M8.1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Nº de profesionales formados en CWE por 1000 empleados TIC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Más cultural que técnico; útil como contexto, no como métrica primaria de riesgo. [web:8]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M8.2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de organizaciones con repositorio unificado de vulnerabilidades con campos CWE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Muy accionable (puede convertirse en requisito de mínimos).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</w:pPr>
            <w:r>
              <w:t>M8.3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% de organizaciones que combinan CWE, CVE y CVSS en un mismo cuadro de mando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B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A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B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B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B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M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Refleja un salto de madurez; su coste de implantación no es trivial.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3. Uso de la matriz</w:t>
      </w:r>
    </w:p>
    <w:p>
      <w:r>
        <w:t>Esta matriz permite:</w:t>
      </w:r>
    </w:p>
    <w:p>
      <w:pPr>
        <w:pStyle w:val="ListBullet"/>
        <w:keepLines w:val="1"/>
        <w:keepNext w:val="1"/>
        <w:widowControl w:val="1"/>
      </w:pPr>
      <w:r>
        <w:t xml:space="preserve">Seleccionar métricas fuertes (P y R altos, C aceptable) como núcleo de un cuadro de mando nacional. [web:21][web:26]  </w:t>
      </w:r>
    </w:p>
    <w:p>
      <w:pPr>
        <w:pStyle w:val="ListBullet"/>
        <w:keepLines w:val="1"/>
        <w:keepNext w:val="1"/>
        <w:widowControl w:val="1"/>
      </w:pPr>
      <w:r>
        <w:t xml:space="preserve">Identificar métricas “decorativas” (bajo P, bajo A) y relegarlas a informes secundarios.  </w:t>
      </w:r>
    </w:p>
    <w:p>
      <w:pPr>
        <w:pStyle w:val="ListBullet"/>
        <w:keepLines w:val="1"/>
        <w:widowControl w:val="1"/>
      </w:pPr>
      <w:r>
        <w:t xml:space="preserve">Justificar inversiones: por ejemplo, si una métrica es muy relevante y accionable pero carece de precisión o oportunidad, se argumenta la necesidad de mejorar la infraestructura de datos. [web:24][web:29]  </w:t>
      </w:r>
    </w:p>
    <w:p>
      <w:r>
        <w:t>La matriz no pretende clausurar el debate, sino evitar que los indicadores se conviertan en poesía numérica sin capacidad de incomodar decisiones.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