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Preguntas de la Encuesta a Requisitos Normativos</w:t>
      </w:r>
    </w:p>
    <w:p>
      <w:r>
        <w:t>La siguiente tabla muestra, para cada bloque de preguntas, las principales referencias normativas y de buenas prácticas con las que se relaciona. El objetivo es facilitar el alineamiento con marcos como ENS, ISO 27001, NIS2, así como con las prácticas recomendadas por CWE y organismos internacionales.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 / 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 (ES)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/ 27002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/ Directivas UE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Otros marcos / referencias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1.x Datos generales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Contexto organizativo y de sistemas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Título II (Ámbito de aplicación y principios básicos)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– Cláusula 4 (Contexto de la organización)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Art. 2–3 (Ámbito y entidades esenciales/importantes)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ENISA Threat Landscape (sectorización)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2.1 Uso de CWE como taxonomía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Adopción de marcos reconocidos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Principio de gestión de riesgos y seguridad integral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– A.5.1 Políticas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Requisitos de gestión de riesgos y medidas técnicas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CWE (MITRE) como referencia técnica global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2.2 Política interna de gestión de debilidades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 y políticas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Política de seguridad (Título III)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– A.5.1.1 Políticas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Gobernanza de la ciberseguridad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Buenas prácticas de gobierno corporativo en ciberseguridad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2.3 Integración en la estrategia corporativa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Alineamiento estratégico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Coordinación y organización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– Cláusula 5 Liderazgo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Responsabilidad de la dirección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Estrategia Nacional de Ciberseguridad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3.1 Métodos de identificación de debilidades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Procesos de identificación y pruebas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Medidas de protección (Técnicas y organizativas)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27002 – A.14.2 Seguridad en procesos de desarrollo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Requisitos técnicos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OWASP, prácticas de testing, ENISA recomendaciones técnicas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3.2 Mapeo de vulnerabilidades a CWE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Clasificación estructurada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Análisis y gestión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27002 – A.12.6 Gestión de vulnerabilidades técnicas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Gestión de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CWE–CVE mapeo oficial (MITRE)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3.3 Uso de métricas basadas en CWE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Métricas y reporting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Seguimiento continuo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27004 (medición de seguridad)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Supervisión y reporting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ENISA informes de métricas de ciberseguridad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3.4 Integración CWE/CVE/CVSS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integrada de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Gestión de incidentes y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27002 – A.16 Gestión de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Notificación de incidentes y vulnerabilidades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CVE, CVSS, CWE como tríada estándar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4.1–4.2 Uso del Top 25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Priorización de debilidades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Principio de proporcionalidad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27002 – Selección de controles según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Medidas proporcionadas a los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CWE Top 25 Methodology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4.3 Uso de KEV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Priorización por explotación activa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Gestión de incidentes y alertas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27002 – A.16.1.3 Comunicación de debilidades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Gestión de incidentes significativos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Catálogo KEV (CISA) y su mapeo a CWE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4.4 Uso de MIHW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Debilidades de hardware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Sistemas y comunicaciones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27002 – A.11 Seguridad física y de equipos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Sectores con componentes OT/ICS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CWE MIHW (Most Important Hardware Weaknesses)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5.x Métricas internas CWE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Indicadores de gestión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Supervisión continua y mejora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27004, ISO 27002 – A.18 Mejora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Evaluación de madurez y eficacia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ENISA – Métricas de ciberseguridad sectoriales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6.x Integración en SDLC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Seguridad en el desarrollo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Medidas de desarrollo y evolución de sistemas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27002 – A.14 Desarrollo seguro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Medidas técnicas “state of the art”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CWE-1000 Research Concepts, OWASP SAMM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7.1 Debilidades en análisis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Análisis y gestión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27005 Gestión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Gestión de riesgos de ciberseguridad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ENISA – Risk Management Guidelines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7.2 Mapeo a ENS e 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Alineamiento normativo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Conjunto completo de requisitos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– Controles Anexo 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Requisitos mínimos comunes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Guías CCN-CERT, ENS de detalle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7.3 Reporte a alta dirección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Reporting y gobierno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Responsabilidad de la dirección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– Cláusula 5 Liderazgo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Responsabilidad del órgano de gestión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Buenas prácticas de gobierno corporativo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8.x Formación y cultura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Capacidades y concienciación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Formación y concienciación del personal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27002 – A.7 Concienciación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Capacidades y formación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Estrategias nacionales de capacidades en ciberseguridad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9.x Repositorios y 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la información de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Registro y 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27002 – A.12.4 Registro y 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Gestión de registros y reporting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ENISA – Gestión de datos de incidentes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10.1–10.4 Impacto y ROI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Dimensión económica y eficiencia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– Principio de eficacia y eficiencia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– Mejora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– Evaluación de costes y beneficios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Modelos de riesgo actuarial, estudios de coste de incidentes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11.x Comentarios abiertos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Mejora continua y retroalimentación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ENS – Mejora continua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ISO 27001 – Cláusula 10 Mejora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NIS2 – Evolución del marco de seguridad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Investigación y desarrollo en ciberseguridad</w:t>
            </w:r>
          </w:p>
        </w:tc>
      </w:tr>
    </w:tbl>
    <w:p/>
    <w:p>
      <w:r>
        <w:t>Nota: El mapeo tiene carácter orientativo y no pretende sustituir a interpretaciones oficiales. Facilita, sin embargo, la trazabilidad entre la encuesta y los marcos regulatorios relevantes.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