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 Integrando GQM + PRAGMATIC</w:t>
      </w:r>
    </w:p>
    <w:p>
      <w:r>
        <w:t>Esta plantilla extiende la hoja de cálculo del IGM (Índice de Gestión de Debilidades) y ROI, incorporando explícitamente la trazabilidad GQM y la evaluación PRAGMATIC de las métricas. [web:24][web:29][web:21]</w:t>
      </w:r>
    </w:p>
    <w:p>
      <w:pPr>
        <w:pStyle w:val="Heading2"/>
        <w:keepNext/>
        <w:keepLines/>
      </w:pPr>
      <w:r>
        <w:rPr>
          <w:color w:val="0066CC"/>
        </w:rPr>
        <w:t>1. Estructura propuesta del libro</w:t>
      </w:r>
    </w:p>
    <w:p>
      <w:r>
        <w:t>Hojas mínimas recomendadas:</w:t>
      </w:r>
    </w:p>
    <w:p>
      <w:pPr>
        <w:pStyle w:val="ListNumber"/>
        <w:keepLines w:val="1"/>
        <w:keepNext w:val="1"/>
        <w:widowControl w:val="1"/>
      </w:pPr>
      <w:r>
        <w:t xml:space="preserve">Diccionario_Metricas </w:t>
      </w:r>
    </w:p>
    <w:p>
      <w:pPr>
        <w:pStyle w:val="ListNumber"/>
        <w:keepLines w:val="1"/>
        <w:keepNext w:val="1"/>
        <w:widowControl w:val="1"/>
      </w:pPr>
      <w:r>
        <w:t xml:space="preserve">Datos_Encuesta </w:t>
      </w:r>
    </w:p>
    <w:p>
      <w:pPr>
        <w:pStyle w:val="ListNumber"/>
        <w:keepLines w:val="1"/>
        <w:keepNext w:val="1"/>
        <w:widowControl w:val="1"/>
      </w:pPr>
      <w:r>
        <w:t xml:space="preserve">Calculo_IGM </w:t>
      </w:r>
    </w:p>
    <w:p>
      <w:pPr>
        <w:pStyle w:val="ListNumber"/>
        <w:keepLines w:val="1"/>
        <w:keepNext w:val="1"/>
        <w:widowControl w:val="1"/>
      </w:pPr>
      <w:r>
        <w:t xml:space="preserve">Calculo_PRAGMATIC </w:t>
      </w:r>
    </w:p>
    <w:p>
      <w:pPr>
        <w:pStyle w:val="ListNumber"/>
        <w:keepLines w:val="1"/>
        <w:widowControl w:val="1"/>
      </w:pPr>
      <w:r>
        <w:t xml:space="preserve">Calculo_ROI </w:t>
      </w:r>
    </w:p>
    <w:p>
      <w:pPr>
        <w:pStyle w:val="Heading2"/>
        <w:keepNext/>
        <w:keepLines/>
      </w:pPr>
      <w:r>
        <w:rPr>
          <w:color w:val="0066CC"/>
        </w:rPr>
        <w:t>2. Hoja Diccionario_Metricas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ID_Metrica – Ej. M1.1, M2.1, etc.  </w:t>
      </w:r>
    </w:p>
    <w:p>
      <w:pPr>
        <w:pStyle w:val="ListBullet"/>
        <w:keepLines w:val="1"/>
        <w:keepNext w:val="1"/>
        <w:widowControl w:val="1"/>
      </w:pPr>
      <w:r>
        <w:t xml:space="preserve">Nombre_Corto – “% vulns CWE Top25”, “Tiempo remediación CWE”, etc.  </w:t>
      </w:r>
    </w:p>
    <w:p>
      <w:pPr>
        <w:pStyle w:val="ListBullet"/>
        <w:keepLines w:val="1"/>
        <w:keepNext w:val="1"/>
        <w:widowControl w:val="1"/>
      </w:pPr>
      <w:r>
        <w:t xml:space="preserve">Descripcion – Definición exacta de la métrica.  </w:t>
      </w:r>
    </w:p>
    <w:p>
      <w:pPr>
        <w:pStyle w:val="ListBullet"/>
        <w:keepLines w:val="1"/>
        <w:keepNext w:val="1"/>
        <w:widowControl w:val="1"/>
      </w:pPr>
      <w:r>
        <w:t xml:space="preserve">Meta_GQM – G1, G2, G3, G4.  </w:t>
      </w:r>
    </w:p>
    <w:p>
      <w:pPr>
        <w:pStyle w:val="ListBullet"/>
        <w:keepLines w:val="1"/>
        <w:keepNext w:val="1"/>
        <w:widowControl w:val="1"/>
      </w:pPr>
      <w:r>
        <w:t xml:space="preserve">Pregunta_GQM – G1Q1, G2Q2, etc.  </w:t>
      </w:r>
    </w:p>
    <w:p>
      <w:pPr>
        <w:pStyle w:val="ListBullet"/>
        <w:keepLines w:val="1"/>
        <w:keepNext w:val="1"/>
        <w:widowControl w:val="1"/>
      </w:pPr>
      <w:r>
        <w:t xml:space="preserve">Unidad – %, días, índice 0–100, número absoluto, etc.  </w:t>
      </w:r>
    </w:p>
    <w:p>
      <w:pPr>
        <w:pStyle w:val="ListBullet"/>
        <w:keepLines w:val="1"/>
        <w:keepNext w:val="1"/>
        <w:widowControl w:val="1"/>
      </w:pPr>
      <w:r>
        <w:t xml:space="preserve">Fuente_Datos – CSIRT nacional, encuesta, inventario herramientas, etc.  </w:t>
      </w:r>
    </w:p>
    <w:p>
      <w:pPr>
        <w:pStyle w:val="ListBullet"/>
        <w:keepLines w:val="1"/>
        <w:widowControl w:val="1"/>
      </w:pPr>
      <w:r>
        <w:t xml:space="preserve">Escala – 0–1, 0–100, días, etc.  </w:t>
      </w:r>
    </w:p>
    <w:p>
      <w:r>
        <w:t>Opcionalmente, se pueden añadir:</w:t>
      </w:r>
    </w:p>
    <w:p>
      <w:pPr>
        <w:pStyle w:val="ListBullet"/>
        <w:keepLines w:val="1"/>
        <w:keepNext w:val="1"/>
        <w:widowControl w:val="1"/>
      </w:pPr>
      <w:r>
        <w:t xml:space="preserve">Peso_IGM – Peso relativo en el cálculo del índice (si se integran varias métricas).  </w:t>
      </w:r>
    </w:p>
    <w:p>
      <w:pPr>
        <w:pStyle w:val="ListBullet"/>
        <w:keepLines w:val="1"/>
        <w:widowControl w:val="1"/>
      </w:pPr>
      <w:r>
        <w:t>Notas – Suposiciones, excepciones, etc.</w:t>
      </w:r>
    </w:p>
    <w:p>
      <w:pPr>
        <w:pStyle w:val="Heading2"/>
        <w:keepNext/>
        <w:keepLines/>
      </w:pPr>
      <w:r>
        <w:rPr>
          <w:color w:val="0066CC"/>
        </w:rPr>
        <w:t>3. Hoja Datos_Encuesta</w:t>
      </w:r>
    </w:p>
    <w:p>
      <w:r>
        <w:t>Similar a la plantilla anterior, pero añadiendo columnas que luego alimenten métricas GQM:</w:t>
      </w:r>
    </w:p>
    <w:p>
      <w:pPr>
        <w:pStyle w:val="ListBullet"/>
        <w:keepLines w:val="1"/>
        <w:keepNext w:val="1"/>
        <w:widowControl w:val="1"/>
      </w:pPr>
      <w:r>
        <w:t xml:space="preserve">ID_Org </w:t>
      </w:r>
    </w:p>
    <w:p>
      <w:pPr>
        <w:pStyle w:val="ListBullet"/>
        <w:keepLines w:val="1"/>
        <w:keepNext w:val="1"/>
        <w:widowControl w:val="1"/>
      </w:pPr>
      <w:r>
        <w:t xml:space="preserve">Sector </w:t>
      </w:r>
    </w:p>
    <w:p>
      <w:pPr>
        <w:pStyle w:val="ListBullet"/>
        <w:keepLines w:val="1"/>
        <w:keepNext w:val="1"/>
        <w:widowControl w:val="1"/>
      </w:pPr>
      <w:r>
        <w:t xml:space="preserve">Tamano </w:t>
      </w:r>
    </w:p>
    <w:p>
      <w:pPr>
        <w:pStyle w:val="ListBullet"/>
        <w:keepLines w:val="1"/>
        <w:widowControl w:val="1"/>
      </w:pPr>
      <w:r>
        <w:t xml:space="preserve">Respuestas codificadas a las preguntas de la encuesta (ver kit anterior), en particular aquellas que sirven para construir M4.3, M4.4, M8.1, M8.2, etc.  </w:t>
      </w:r>
    </w:p>
    <w:p>
      <w:r>
        <w:t xml:space="preserve">Para métricas de tipo “nacional” basadas en datos agregados (por ejemplo, M1.1, M2.1, M2.2, M3.1), se pueden usar registros sintéticos o trasladar directamente los resultados agregados a la hoja </w:t>
      </w:r>
      <w:r>
        <w:rPr>
          <w:rFonts w:ascii="Courier New" w:hAnsi="Courier New"/>
          <w:sz w:val="18"/>
        </w:rPr>
        <w:t>Calculo_IGM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4. Hoja Calculo_IGM</w:t>
      </w:r>
    </w:p>
    <w:p>
      <w:pPr>
        <w:pStyle w:val="Heading3"/>
        <w:keepNext/>
        <w:keepLines/>
      </w:pPr>
      <w:r>
        <w:t>4.1. Diseño</w:t>
      </w:r>
    </w:p>
    <w:p>
      <w:r>
        <w:t>Por filas, se recomienda:</w:t>
      </w:r>
    </w:p>
    <w:p>
      <w:pPr>
        <w:pStyle w:val="ListBullet"/>
        <w:keepLines w:val="1"/>
        <w:keepNext w:val="1"/>
        <w:widowControl w:val="1"/>
      </w:pPr>
      <w:r>
        <w:t xml:space="preserve">Una fila por organización (para métricas organizativas).  </w:t>
      </w:r>
    </w:p>
    <w:p>
      <w:pPr>
        <w:pStyle w:val="ListBullet"/>
        <w:keepLines w:val="1"/>
        <w:widowControl w:val="1"/>
      </w:pPr>
      <w:r>
        <w:t>Una fila adicional para “agregados nacionales/sectoriales” (para métricas provenientes de CSIRT, NVD, etc.).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ID_Org </w:t>
      </w:r>
    </w:p>
    <w:p>
      <w:pPr>
        <w:pStyle w:val="ListBullet"/>
        <w:keepLines w:val="1"/>
        <w:keepNext w:val="1"/>
        <w:widowControl w:val="1"/>
      </w:pPr>
      <w:r>
        <w:t xml:space="preserve">Métricas normalizadas (ej. M1_1_norm, M3_1_norm, etc.)  </w:t>
      </w:r>
    </w:p>
    <w:p>
      <w:pPr>
        <w:pStyle w:val="ListBullet"/>
        <w:keepLines w:val="1"/>
        <w:keepNext w:val="1"/>
        <w:widowControl w:val="1"/>
      </w:pPr>
      <w:r>
        <w:t xml:space="preserve">IGM – resultado como suma ponderada de métricas normalizadas.  </w:t>
      </w:r>
    </w:p>
    <w:p>
      <w:pPr>
        <w:pStyle w:val="ListBullet"/>
        <w:keepLines w:val="1"/>
        <w:widowControl w:val="1"/>
      </w:pPr>
      <w:r>
        <w:t>IGM_100 – escala 0–100.</w:t>
      </w:r>
    </w:p>
    <w:p>
      <w:pPr>
        <w:pStyle w:val="Heading3"/>
        <w:keepNext/>
        <w:keepLines/>
      </w:pPr>
      <w:r>
        <w:t>4.2. Normalización</w:t>
      </w:r>
    </w:p>
    <w:p>
      <w:r>
        <w:t>Ejemplos:</w:t>
      </w:r>
    </w:p>
    <w:p>
      <w:pPr>
        <w:pStyle w:val="ListBullet"/>
        <w:keepLines w:val="1"/>
        <w:keepNext w:val="1"/>
        <w:widowControl w:val="1"/>
      </w:pPr>
      <w:r>
        <w:t xml:space="preserve">Métrica en porcentaje (0–100): M_norm = M / 100.  </w:t>
      </w:r>
    </w:p>
    <w:p>
      <w:pPr>
        <w:pStyle w:val="ListBullet"/>
        <w:keepLines w:val="1"/>
        <w:keepNext w:val="1"/>
        <w:widowControl w:val="1"/>
      </w:pPr>
      <w:r>
        <w:t xml:space="preserve">Métrica en días (donde menos es mejor):  </w:t>
      </w:r>
    </w:p>
    <w:p>
      <w:pPr>
        <w:pStyle w:val="ListBullet"/>
        <w:keepLines w:val="1"/>
        <w:keepNext w:val="1"/>
        <w:widowControl w:val="1"/>
      </w:pPr>
      <w:r>
        <w:t xml:space="preserve">Definir rango razonable (ej. 0–90 días).  </w:t>
      </w:r>
    </w:p>
    <w:p>
      <w:pPr>
        <w:pStyle w:val="ListBullet"/>
        <w:keepLines w:val="1"/>
        <w:widowControl w:val="1"/>
      </w:pPr>
      <w:r>
        <w:t xml:space="preserve">M_norm = 1 – MIN(M, 90) / 90.  </w:t>
      </w:r>
    </w:p>
    <w:p>
      <w:pPr>
        <w:pStyle w:val="Heading3"/>
        <w:keepNext/>
        <w:keepLines/>
      </w:pPr>
      <w:r>
        <w:t>4.3. Cálculo</w:t>
      </w:r>
    </w:p>
    <w:p>
      <w:r>
        <w:t>Si se usa un subconjunto de métricas para el IGM:</w:t>
      </w:r>
    </w:p>
    <w:p>
      <w:pPr>
        <w:pStyle w:val="ListBullet"/>
        <w:keepLines w:val="1"/>
        <w:keepNext w:val="1"/>
        <w:widowControl w:val="1"/>
      </w:pPr>
      <w:r>
        <w:t xml:space="preserve">IGM = Σ (M_i_norm * Peso_i) </w:t>
      </w:r>
    </w:p>
    <w:p>
      <w:pPr>
        <w:pStyle w:val="ListBullet"/>
        <w:keepLines w:val="1"/>
        <w:widowControl w:val="1"/>
      </w:pPr>
      <w:r>
        <w:t xml:space="preserve">Verificar que Σ Peso_i = 1.  </w:t>
      </w:r>
    </w:p>
    <w:p>
      <w:pPr>
        <w:pStyle w:val="Heading2"/>
        <w:keepNext/>
        <w:keepLines/>
      </w:pPr>
      <w:r>
        <w:rPr>
          <w:color w:val="0066CC"/>
        </w:rPr>
        <w:t>5. Hoja Calculo_PRAGMATIC</w:t>
      </w:r>
    </w:p>
    <w:p>
      <w:r>
        <w:t>Esta hoja permite puntuar cada métrica según los criterios PRAGMATIC y, si se desea, derivar un índice de “calidad de métrica”.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ID_Metrica </w:t>
      </w:r>
    </w:p>
    <w:p>
      <w:pPr>
        <w:pStyle w:val="ListBullet"/>
        <w:keepLines w:val="1"/>
        <w:keepNext w:val="1"/>
        <w:widowControl w:val="1"/>
      </w:pPr>
      <w:r>
        <w:t xml:space="preserve">P (0–3)  </w:t>
      </w:r>
    </w:p>
    <w:p>
      <w:pPr>
        <w:pStyle w:val="ListBullet"/>
        <w:keepLines w:val="1"/>
        <w:keepNext w:val="1"/>
        <w:widowControl w:val="1"/>
      </w:pPr>
      <w:r>
        <w:t xml:space="preserve">R (0–3)  </w:t>
      </w:r>
    </w:p>
    <w:p>
      <w:pPr>
        <w:pStyle w:val="ListBullet"/>
        <w:keepLines w:val="1"/>
        <w:keepNext w:val="1"/>
        <w:widowControl w:val="1"/>
      </w:pPr>
      <w:r>
        <w:t xml:space="preserve">A (0–3)  </w:t>
      </w:r>
    </w:p>
    <w:p>
      <w:pPr>
        <w:pStyle w:val="ListBullet"/>
        <w:keepLines w:val="1"/>
        <w:keepNext w:val="1"/>
        <w:widowControl w:val="1"/>
      </w:pPr>
      <w:r>
        <w:t xml:space="preserve">G (0–3)  </w:t>
      </w:r>
    </w:p>
    <w:p>
      <w:pPr>
        <w:pStyle w:val="ListBullet"/>
        <w:keepLines w:val="1"/>
        <w:keepNext w:val="1"/>
        <w:widowControl w:val="1"/>
      </w:pPr>
      <w:r>
        <w:t xml:space="preserve">M (0–3)  </w:t>
      </w:r>
    </w:p>
    <w:p>
      <w:pPr>
        <w:pStyle w:val="ListBullet"/>
        <w:keepLines w:val="1"/>
        <w:keepNext w:val="1"/>
        <w:widowControl w:val="1"/>
      </w:pPr>
      <w:r>
        <w:t xml:space="preserve">A2 (0–3)  </w:t>
      </w:r>
    </w:p>
    <w:p>
      <w:pPr>
        <w:pStyle w:val="ListBullet"/>
        <w:keepLines w:val="1"/>
        <w:keepNext w:val="1"/>
        <w:widowControl w:val="1"/>
      </w:pPr>
      <w:r>
        <w:t xml:space="preserve">T (0–3)  </w:t>
      </w:r>
    </w:p>
    <w:p>
      <w:pPr>
        <w:pStyle w:val="ListBullet"/>
        <w:keepLines w:val="1"/>
        <w:keepNext w:val="1"/>
        <w:widowControl w:val="1"/>
      </w:pPr>
      <w:r>
        <w:t xml:space="preserve">I (0–3)  </w:t>
      </w:r>
    </w:p>
    <w:p>
      <w:pPr>
        <w:pStyle w:val="ListBullet"/>
        <w:keepLines w:val="1"/>
        <w:keepNext w:val="1"/>
        <w:widowControl w:val="1"/>
      </w:pPr>
      <w:r>
        <w:t xml:space="preserve">C (0–3)  </w:t>
      </w:r>
    </w:p>
    <w:p>
      <w:pPr>
        <w:pStyle w:val="ListBullet"/>
        <w:keepLines w:val="1"/>
        <w:widowControl w:val="1"/>
      </w:pPr>
      <w:r>
        <w:t xml:space="preserve">Score_PRAGMATIC = suma de los nueve criterios (máx. 27).  </w:t>
      </w:r>
    </w:p>
    <w:p>
      <w:r>
        <w:t>Esto permite, por ejemplo:</w:t>
      </w:r>
    </w:p>
    <w:p>
      <w:pPr>
        <w:pStyle w:val="ListBullet"/>
        <w:keepLines w:val="1"/>
        <w:keepNext w:val="1"/>
        <w:widowControl w:val="1"/>
      </w:pPr>
      <w:r>
        <w:t xml:space="preserve">Ordenar las métricas por Score_PRAGMATIC para seleccionar las más “sanas”. [web:21][web:26]  </w:t>
      </w:r>
    </w:p>
    <w:p>
      <w:pPr>
        <w:pStyle w:val="ListBullet"/>
        <w:keepLines w:val="1"/>
        <w:widowControl w:val="1"/>
      </w:pPr>
      <w:r>
        <w:t xml:space="preserve">Visualizar la contribución de cada criterio mediante gráficos radar o similares.  </w:t>
      </w:r>
    </w:p>
    <w:p>
      <w:pPr>
        <w:pStyle w:val="Heading2"/>
        <w:keepNext/>
        <w:keepLines/>
      </w:pPr>
      <w:r>
        <w:rPr>
          <w:color w:val="0066CC"/>
        </w:rPr>
        <w:t>6. Hoja Calculo_ROI</w:t>
      </w:r>
    </w:p>
    <w:p>
      <w:r>
        <w:t>Igual que en la plantilla previa, pero integrando GQM:</w:t>
      </w:r>
    </w:p>
    <w:p>
      <w:r>
        <w:t>Columnas básicas:</w:t>
      </w:r>
    </w:p>
    <w:p>
      <w:pPr>
        <w:pStyle w:val="ListBullet"/>
        <w:keepLines w:val="1"/>
        <w:keepNext w:val="1"/>
        <w:widowControl w:val="1"/>
      </w:pPr>
      <w:r>
        <w:t xml:space="preserve">ID_Org </w:t>
      </w:r>
    </w:p>
    <w:p>
      <w:pPr>
        <w:pStyle w:val="ListBullet"/>
        <w:keepLines w:val="1"/>
        <w:keepNext w:val="1"/>
        <w:widowControl w:val="1"/>
      </w:pPr>
      <w:r>
        <w:t xml:space="preserve">IGM_Antes </w:t>
      </w:r>
    </w:p>
    <w:p>
      <w:pPr>
        <w:pStyle w:val="ListBullet"/>
        <w:keepLines w:val="1"/>
        <w:keepNext w:val="1"/>
        <w:widowControl w:val="1"/>
      </w:pPr>
      <w:r>
        <w:t xml:space="preserve">IGM_Despues </w:t>
      </w:r>
    </w:p>
    <w:p>
      <w:pPr>
        <w:pStyle w:val="ListBullet"/>
        <w:keepLines w:val="1"/>
        <w:keepNext w:val="1"/>
        <w:widowControl w:val="1"/>
      </w:pPr>
      <w:r>
        <w:t xml:space="preserve">Coste_Anual_Incidentes_Antes </w:t>
      </w:r>
    </w:p>
    <w:p>
      <w:pPr>
        <w:pStyle w:val="ListBullet"/>
        <w:keepLines w:val="1"/>
        <w:keepNext w:val="1"/>
        <w:widowControl w:val="1"/>
      </w:pPr>
      <w:r>
        <w:t xml:space="preserve">Coste_Anual_Incidentes_Despues </w:t>
      </w:r>
    </w:p>
    <w:p>
      <w:pPr>
        <w:pStyle w:val="ListBullet"/>
        <w:keepLines w:val="1"/>
        <w:keepNext w:val="1"/>
        <w:widowControl w:val="1"/>
      </w:pPr>
      <w:r>
        <w:t xml:space="preserve">Inversion </w:t>
      </w:r>
    </w:p>
    <w:p>
      <w:pPr>
        <w:pStyle w:val="ListBullet"/>
        <w:keepLines w:val="1"/>
        <w:keepNext w:val="1"/>
        <w:widowControl w:val="1"/>
      </w:pPr>
      <w:r>
        <w:t xml:space="preserve">Ahorro_Anual = Coste_Anual_Incidentes_Antes – Coste_Anual_Incidentes_Despues </w:t>
      </w:r>
    </w:p>
    <w:p>
      <w:pPr>
        <w:pStyle w:val="ListBullet"/>
        <w:keepLines w:val="1"/>
        <w:widowControl w:val="1"/>
      </w:pPr>
      <w:r>
        <w:t xml:space="preserve">ROI = (Ahorro_Anual – Inversion) / Inversion </w:t>
      </w:r>
    </w:p>
    <w:p>
      <w:r>
        <w:t>Columnas opcionales:</w:t>
      </w:r>
    </w:p>
    <w:p>
      <w:pPr>
        <w:pStyle w:val="ListBullet"/>
        <w:keepLines w:val="1"/>
        <w:keepNext w:val="1"/>
        <w:widowControl w:val="1"/>
      </w:pPr>
      <w:r>
        <w:t xml:space="preserve">M3_1_Antes, M3_1_Despues (tiempo de remediación por CWE)  </w:t>
      </w:r>
    </w:p>
    <w:p>
      <w:pPr>
        <w:pStyle w:val="ListBullet"/>
        <w:keepLines w:val="1"/>
        <w:widowControl w:val="1"/>
      </w:pPr>
      <w:r>
        <w:t xml:space="preserve">M1_1_Antes, M1_1_Despues (% de vulnerabilidades Top 25)  </w:t>
      </w:r>
    </w:p>
    <w:p>
      <w:r>
        <w:t>Esto permite estudiar, por ejemplo, si una mejora de 10 puntos en IGM se corresponde con un descenso significativo en tiempo de remediación y coste de incidentes, lo que da respaldo económico a las decisiones de inversión.</w:t>
      </w:r>
    </w:p>
    <w:p>
      <w:pPr>
        <w:pStyle w:val="Heading2"/>
        <w:keepNext/>
        <w:keepLines/>
      </w:pPr>
      <w:r>
        <w:rPr>
          <w:color w:val="0066CC"/>
        </w:rPr>
        <w:t>7. Visualizaciones recomendadas</w:t>
      </w:r>
    </w:p>
    <w:p>
      <w:r>
        <w:t>En el propio Excel se pueden preparar gráficos listos para exportar a la plantilla de PowerPoint:</w:t>
      </w:r>
    </w:p>
    <w:p>
      <w:pPr>
        <w:pStyle w:val="ListBullet"/>
        <w:keepLines w:val="1"/>
        <w:keepNext w:val="1"/>
        <w:widowControl w:val="1"/>
      </w:pPr>
      <w:r>
        <w:t xml:space="preserve">Gráfico de barras: IGM medio por sector.  </w:t>
      </w:r>
    </w:p>
    <w:p>
      <w:pPr>
        <w:pStyle w:val="ListBullet"/>
        <w:keepLines w:val="1"/>
        <w:keepNext w:val="1"/>
        <w:widowControl w:val="1"/>
      </w:pPr>
      <w:r>
        <w:t xml:space="preserve">Diagrama de dispersión: IGM vs coste anual de incidentes.  </w:t>
      </w:r>
    </w:p>
    <w:p>
      <w:pPr>
        <w:pStyle w:val="ListBullet"/>
        <w:keepLines w:val="1"/>
        <w:keepNext w:val="1"/>
        <w:widowControl w:val="1"/>
      </w:pPr>
      <w:r>
        <w:t xml:space="preserve">Gráfico de líneas: evolución de M1.1 (Top 25) y M3.1 (tiempo de remediación) a lo largo del tiempo.  </w:t>
      </w:r>
    </w:p>
    <w:p>
      <w:pPr>
        <w:pStyle w:val="ListBullet"/>
        <w:keepLines w:val="1"/>
        <w:widowControl w:val="1"/>
      </w:pPr>
      <w:r>
        <w:t>Radar PRAGMATIC por métrica o por grupo de métricas.</w:t>
      </w:r>
    </w:p>
    <w:p>
      <w:pPr>
        <w:pStyle w:val="Heading2"/>
        <w:keepNext/>
        <w:keepLines/>
      </w:pPr>
      <w:r>
        <w:rPr>
          <w:color w:val="0066CC"/>
        </w:rPr>
        <w:t>8. Consideraciones finales</w:t>
      </w:r>
    </w:p>
    <w:p>
      <w:r>
        <w:t>La plantilla no pretende ser una cárcel para analistas, sino un esqueleto razonable: permite desde un uso ligero hasta modelos bastante sofisticados. Lo importante es que cada celda con un número lleve detrás una narrativa clara: qué meta nacional sirve, qué pregunta responde y qué tan buena es la métrica según PRAGMATIC.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