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GQM + PRAGMATIC + CWE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“Indicadores Nacionales de Debilidades CWE – Marco GQM + PRAGMATIC”</w:t>
      </w:r>
    </w:p>
    <w:p>
      <w:pPr>
        <w:pStyle w:val="ListBullet"/>
        <w:keepLines w:val="1"/>
        <w:keepNext w:val="1"/>
        <w:widowControl w:val="1"/>
      </w:pPr>
      <w:r>
        <w:t>Subtítulo: “Estado de situación y evolución”</w:t>
      </w:r>
    </w:p>
    <w:p>
      <w:pPr>
        <w:pStyle w:val="ListBullet"/>
        <w:keepLines w:val="1"/>
        <w:keepNext w:val="1"/>
        <w:widowControl w:val="1"/>
      </w:pPr>
      <w:r>
        <w:t>Fecha</w:t>
      </w:r>
    </w:p>
    <w:p>
      <w:pPr>
        <w:pStyle w:val="ListBullet"/>
        <w:keepLines w:val="1"/>
        <w:widowControl w:val="1"/>
      </w:pPr>
      <w:r>
        <w:t>Logo(s)</w:t>
      </w:r>
    </w:p>
    <w:p>
      <w:pPr>
        <w:pStyle w:val="Heading2"/>
        <w:keepNext/>
        <w:keepLines/>
      </w:pPr>
      <w:r>
        <w:rPr>
          <w:color w:val="0066CC"/>
        </w:rPr>
        <w:t>Diapositiva 2 – Por qué CWE y por qué ahora</w:t>
      </w:r>
    </w:p>
    <w:p>
      <w:pPr>
        <w:pStyle w:val="ListBullet"/>
        <w:keepLines w:val="1"/>
        <w:keepNext w:val="1"/>
        <w:widowControl w:val="1"/>
      </w:pPr>
      <w:r>
        <w:t xml:space="preserve">Breve explicación de CWE como catálogo global de debilidades. [web:22][web:28]  </w:t>
      </w:r>
    </w:p>
    <w:p>
      <w:pPr>
        <w:pStyle w:val="ListBullet"/>
        <w:keepLines w:val="1"/>
        <w:keepNext w:val="1"/>
        <w:widowControl w:val="1"/>
      </w:pPr>
      <w:r>
        <w:t xml:space="preserve">Conexión con CVE, CVSS, KEV y listas Top 25. [web:28][web:27][web:2]  </w:t>
      </w:r>
    </w:p>
    <w:p>
      <w:pPr>
        <w:pStyle w:val="ListBullet"/>
        <w:keepLines w:val="1"/>
        <w:widowControl w:val="1"/>
      </w:pPr>
      <w:r>
        <w:t>Referencias a ENISA, estrategias nacionales y contexto regulatorio. [web:9][web:14][web:13]</w:t>
      </w:r>
    </w:p>
    <w:p>
      <w:pPr>
        <w:pStyle w:val="Heading2"/>
        <w:keepNext/>
        <w:keepLines/>
      </w:pPr>
      <w:r>
        <w:rPr>
          <w:color w:val="0066CC"/>
        </w:rPr>
        <w:t>Diapositiva 3 – Metodología GQM + PRAGMATIC</w:t>
      </w:r>
    </w:p>
    <w:p>
      <w:pPr>
        <w:pStyle w:val="ListBullet"/>
        <w:keepLines w:val="1"/>
        <w:keepNext w:val="1"/>
        <w:widowControl w:val="1"/>
      </w:pPr>
      <w:r>
        <w:t xml:space="preserve">Explicar GQM: de objetivos a preguntas y métricas. [web:17][web:18]  </w:t>
      </w:r>
    </w:p>
    <w:p>
      <w:pPr>
        <w:pStyle w:val="ListBullet"/>
        <w:keepLines w:val="1"/>
        <w:keepNext w:val="1"/>
        <w:widowControl w:val="1"/>
      </w:pPr>
      <w:r>
        <w:t xml:space="preserve">Explicar PRAGMATIC como filtro de calidad de métricas. [web:21][web:26]  </w:t>
      </w:r>
    </w:p>
    <w:p>
      <w:pPr>
        <w:pStyle w:val="ListBullet"/>
        <w:keepLines w:val="1"/>
        <w:widowControl w:val="1"/>
      </w:pPr>
      <w:r>
        <w:t>Mensaje: “no medimos todo, medimos lo que importa y se puede usar”.</w:t>
      </w:r>
    </w:p>
    <w:p>
      <w:pPr>
        <w:pStyle w:val="Heading2"/>
        <w:keepNext/>
        <w:keepLines/>
      </w:pPr>
      <w:r>
        <w:rPr>
          <w:color w:val="0066CC"/>
        </w:rPr>
        <w:t>Diapositiva 4 – Metas nacionales (G de GQM)</w:t>
      </w:r>
    </w:p>
    <w:p>
      <w:pPr>
        <w:pStyle w:val="ListBullet"/>
        <w:keepLines w:val="1"/>
        <w:keepNext w:val="1"/>
        <w:widowControl w:val="1"/>
      </w:pPr>
      <w:r>
        <w:t xml:space="preserve">G1: Reducir la prevalencia de debilidades CWE críticas.  </w:t>
      </w:r>
    </w:p>
    <w:p>
      <w:pPr>
        <w:pStyle w:val="ListBullet"/>
        <w:keepLines w:val="1"/>
        <w:keepNext w:val="1"/>
        <w:widowControl w:val="1"/>
      </w:pPr>
      <w:r>
        <w:t xml:space="preserve">G2: Reducir tiempos de detección y remediación.  </w:t>
      </w:r>
    </w:p>
    <w:p>
      <w:pPr>
        <w:pStyle w:val="ListBullet"/>
        <w:keepLines w:val="1"/>
        <w:keepNext w:val="1"/>
        <w:widowControl w:val="1"/>
      </w:pPr>
      <w:r>
        <w:t xml:space="preserve">G3: Integrar CWE en regulación y gobierno.  </w:t>
      </w:r>
    </w:p>
    <w:p>
      <w:pPr>
        <w:pStyle w:val="ListBullet"/>
        <w:keepLines w:val="1"/>
        <w:widowControl w:val="1"/>
      </w:pPr>
      <w:r>
        <w:t>G4: Desarrollar capacidades y cultura alrededor de CWE. [web:9][web:14][web:22][web:13]</w:t>
      </w:r>
    </w:p>
    <w:p>
      <w:pPr>
        <w:pStyle w:val="Heading2"/>
        <w:keepNext/>
        <w:keepLines/>
      </w:pPr>
      <w:r>
        <w:rPr>
          <w:color w:val="0066CC"/>
        </w:rPr>
        <w:t>Diapositiva 5 – Preguntas clave (Q)</w:t>
      </w:r>
    </w:p>
    <w:p>
      <w:pPr>
        <w:pStyle w:val="ListBullet"/>
        <w:keepLines w:val="1"/>
        <w:keepNext w:val="1"/>
        <w:widowControl w:val="1"/>
      </w:pPr>
      <w:r>
        <w:t xml:space="preserve">Ejemplos de preguntas:  </w:t>
      </w:r>
    </w:p>
    <w:p>
      <w:pPr>
        <w:pStyle w:val="ListBullet"/>
        <w:keepLines w:val="1"/>
        <w:keepNext w:val="1"/>
        <w:widowControl w:val="1"/>
      </w:pPr>
      <w:r>
        <w:t xml:space="preserve">G1Q1: ¿Qué proporción de vulnerabilidades se explica por CWE Top 25?  </w:t>
      </w:r>
    </w:p>
    <w:p>
      <w:pPr>
        <w:pStyle w:val="ListBullet"/>
        <w:keepLines w:val="1"/>
        <w:keepNext w:val="1"/>
        <w:widowControl w:val="1"/>
      </w:pPr>
      <w:r>
        <w:t xml:space="preserve">G2Q2: ¿Cuánto tardamos en corregir debilidades prioritarias?  </w:t>
      </w:r>
    </w:p>
    <w:p>
      <w:pPr>
        <w:pStyle w:val="ListBullet"/>
        <w:keepLines w:val="1"/>
        <w:keepNext w:val="1"/>
        <w:widowControl w:val="1"/>
      </w:pPr>
      <w:r>
        <w:t xml:space="preserve">G3Q1: ¿Hasta qué punto CWE está en pliegos y auditorías?  </w:t>
      </w:r>
    </w:p>
    <w:p>
      <w:pPr>
        <w:pStyle w:val="ListBullet"/>
        <w:keepLines w:val="1"/>
        <w:widowControl w:val="1"/>
      </w:pPr>
      <w:r>
        <w:t xml:space="preserve">G4Q1: ¿Quién utiliza CWE en sus procesos internos?  </w:t>
      </w:r>
    </w:p>
    <w:p>
      <w:pPr>
        <w:pStyle w:val="Heading2"/>
        <w:keepNext/>
        <w:keepLines/>
      </w:pPr>
      <w:r>
        <w:rPr>
          <w:color w:val="0066CC"/>
        </w:rPr>
        <w:t>Diapositiva 6 – Métricas seleccionadas (M)</w:t>
      </w:r>
    </w:p>
    <w:p>
      <w:pPr>
        <w:pStyle w:val="ListBullet"/>
        <w:keepLines w:val="1"/>
        <w:keepNext w:val="1"/>
        <w:widowControl w:val="1"/>
      </w:pPr>
      <w:r>
        <w:t xml:space="preserve">Presentar un pequeño subconjunto de métricas “estrella” (M1.1, M2.2, M3.1, M4.3, IGM).  </w:t>
      </w:r>
    </w:p>
    <w:p>
      <w:pPr>
        <w:pStyle w:val="ListBullet"/>
        <w:keepLines w:val="1"/>
        <w:widowControl w:val="1"/>
      </w:pPr>
      <w:r>
        <w:t>Destacar la trazabilidad G–Q–M en una tabla simple.</w:t>
      </w:r>
    </w:p>
    <w:p>
      <w:pPr>
        <w:pStyle w:val="Heading2"/>
        <w:keepNext/>
        <w:keepLines/>
      </w:pPr>
      <w:r>
        <w:rPr>
          <w:color w:val="0066CC"/>
        </w:rPr>
        <w:t>Diapositiva 7 – Calidad de las métricas (PRAGMATIC)</w:t>
      </w:r>
    </w:p>
    <w:p>
      <w:pPr>
        <w:pStyle w:val="ListBullet"/>
        <w:keepLines w:val="1"/>
        <w:keepNext w:val="1"/>
        <w:widowControl w:val="1"/>
      </w:pPr>
      <w:r>
        <w:t xml:space="preserve">Gráfico radar para una o dos métricas clave (por ejemplo, M3.1 y M1.1). [web:21][web:26]  </w:t>
      </w:r>
    </w:p>
    <w:p>
      <w:pPr>
        <w:pStyle w:val="ListBullet"/>
        <w:keepLines w:val="1"/>
        <w:widowControl w:val="1"/>
      </w:pPr>
      <w:r>
        <w:t>Mensaje: “no todas las métricas son iguales; hemos elegido las menos inútiles”.</w:t>
      </w:r>
    </w:p>
    <w:p>
      <w:pPr>
        <w:pStyle w:val="Heading2"/>
        <w:keepNext/>
        <w:keepLines/>
      </w:pPr>
      <w:r>
        <w:rPr>
          <w:color w:val="0066CC"/>
        </w:rPr>
        <w:t>Diapositiva 8 – Resultados agregados: prevalencia CWE</w:t>
      </w:r>
    </w:p>
    <w:p>
      <w:pPr>
        <w:pStyle w:val="ListBullet"/>
        <w:keepLines w:val="1"/>
        <w:keepNext w:val="1"/>
        <w:widowControl w:val="1"/>
      </w:pPr>
      <w:r>
        <w:t xml:space="preserve">Gráfico: % de vulnerabilidades nacionales asociadas a Top 25 (M1.1). [web:28]  </w:t>
      </w:r>
    </w:p>
    <w:p>
      <w:pPr>
        <w:pStyle w:val="ListBullet"/>
        <w:keepLines w:val="1"/>
        <w:keepNext w:val="1"/>
        <w:widowControl w:val="1"/>
      </w:pPr>
      <w:r>
        <w:t xml:space="preserve">Gráfico por sector (M1.2).  </w:t>
      </w:r>
    </w:p>
    <w:p>
      <w:pPr>
        <w:pStyle w:val="ListBullet"/>
        <w:keepLines w:val="1"/>
        <w:widowControl w:val="1"/>
      </w:pPr>
      <w:r>
        <w:t>Comentario sobre concentración de riesgo.</w:t>
      </w:r>
    </w:p>
    <w:p>
      <w:pPr>
        <w:pStyle w:val="Heading2"/>
        <w:keepNext/>
        <w:keepLines/>
      </w:pPr>
      <w:r>
        <w:rPr>
          <w:color w:val="0066CC"/>
        </w:rPr>
        <w:t>Diapositiva 9 – Resultados agregados: tiempos de remediación</w:t>
      </w:r>
    </w:p>
    <w:p>
      <w:pPr>
        <w:pStyle w:val="ListBullet"/>
        <w:keepLines w:val="1"/>
        <w:keepNext w:val="1"/>
        <w:widowControl w:val="1"/>
      </w:pPr>
      <w:r>
        <w:t xml:space="preserve">Gráfico: tiempo medio de remediación por CWE prioritaria (M3.1).  </w:t>
      </w:r>
    </w:p>
    <w:p>
      <w:pPr>
        <w:pStyle w:val="ListBullet"/>
        <w:keepLines w:val="1"/>
        <w:widowControl w:val="1"/>
      </w:pPr>
      <w:r>
        <w:t>Comparación con objetivos deseados o benchmarks (si existen). [web:9][web:14]</w:t>
      </w:r>
    </w:p>
    <w:p>
      <w:pPr>
        <w:pStyle w:val="Heading2"/>
        <w:keepNext/>
        <w:keepLines/>
      </w:pPr>
      <w:r>
        <w:rPr>
          <w:color w:val="0066CC"/>
        </w:rPr>
        <w:t>Diapositiva 10 – Integración de CWE en prácticas y regulación</w:t>
      </w:r>
    </w:p>
    <w:p>
      <w:pPr>
        <w:pStyle w:val="ListBullet"/>
        <w:keepLines w:val="1"/>
        <w:keepNext w:val="1"/>
        <w:widowControl w:val="1"/>
      </w:pPr>
      <w:r>
        <w:t xml:space="preserve">% de organizaciones que usan CWE como taxonomía formal (M4.3).  </w:t>
      </w:r>
    </w:p>
    <w:p>
      <w:pPr>
        <w:pStyle w:val="ListBullet"/>
        <w:keepLines w:val="1"/>
        <w:keepNext w:val="1"/>
        <w:widowControl w:val="1"/>
      </w:pPr>
      <w:r>
        <w:t xml:space="preserve">% de pliegos y auditorías con referencias explícitas (M4.1, M4.2).  </w:t>
      </w:r>
    </w:p>
    <w:p>
      <w:pPr>
        <w:pStyle w:val="ListBullet"/>
        <w:keepLines w:val="1"/>
        <w:widowControl w:val="1"/>
      </w:pPr>
      <w:r>
        <w:t>Comentario sobre el “gap” entre discurso y práctica.</w:t>
      </w:r>
    </w:p>
    <w:p>
      <w:pPr>
        <w:pStyle w:val="Heading2"/>
        <w:keepNext/>
        <w:keepLines/>
      </w:pPr>
      <w:r>
        <w:rPr>
          <w:color w:val="0066CC"/>
        </w:rPr>
        <w:t>Diapositiva 11 – IGM (Índice de Gestión de Debilidades)</w:t>
      </w:r>
    </w:p>
    <w:p>
      <w:pPr>
        <w:pStyle w:val="ListBullet"/>
        <w:keepLines w:val="1"/>
        <w:keepNext w:val="1"/>
        <w:widowControl w:val="1"/>
      </w:pPr>
      <w:r>
        <w:t xml:space="preserve">Presentar el IGM medio nacional.  </w:t>
      </w:r>
    </w:p>
    <w:p>
      <w:pPr>
        <w:pStyle w:val="ListBullet"/>
        <w:keepLines w:val="1"/>
        <w:keepNext w:val="1"/>
        <w:widowControl w:val="1"/>
      </w:pPr>
      <w:r>
        <w:t xml:space="preserve">Distribución por sector y tamaño.  </w:t>
      </w:r>
    </w:p>
    <w:p>
      <w:pPr>
        <w:pStyle w:val="ListBullet"/>
        <w:keepLines w:val="1"/>
        <w:widowControl w:val="1"/>
      </w:pPr>
      <w:r>
        <w:t>Eventuales tendencias (si hay datos de más de un año). [web:24][web:29]</w:t>
      </w:r>
    </w:p>
    <w:p>
      <w:pPr>
        <w:pStyle w:val="Heading2"/>
        <w:keepNext/>
        <w:keepLines/>
      </w:pPr>
      <w:r>
        <w:rPr>
          <w:color w:val="0066CC"/>
        </w:rPr>
        <w:t>Diapositiva 12 – Relación entre madurez y impacto económico</w:t>
      </w:r>
    </w:p>
    <w:p>
      <w:pPr>
        <w:pStyle w:val="ListBullet"/>
        <w:keepLines w:val="1"/>
        <w:keepNext w:val="1"/>
        <w:widowControl w:val="1"/>
      </w:pPr>
      <w:r>
        <w:t xml:space="preserve">Si hay datos de ROI:  </w:t>
      </w:r>
    </w:p>
    <w:p>
      <w:pPr>
        <w:pStyle w:val="ListBullet"/>
        <w:keepLines w:val="1"/>
        <w:keepNext w:val="1"/>
        <w:widowControl w:val="1"/>
      </w:pPr>
      <w:r>
        <w:t xml:space="preserve">Gráfico de dispersión IGM vs coste anual de incidentes.  </w:t>
      </w:r>
    </w:p>
    <w:p>
      <w:pPr>
        <w:pStyle w:val="ListBullet"/>
        <w:keepLines w:val="1"/>
        <w:widowControl w:val="1"/>
      </w:pPr>
      <w:r>
        <w:t xml:space="preserve">Ejemplo de organización/sector con mejora notable.  </w:t>
      </w:r>
    </w:p>
    <w:p>
      <w:pPr>
        <w:pStyle w:val="Heading2"/>
        <w:keepNext/>
        <w:keepLines/>
      </w:pPr>
      <w:r>
        <w:rPr>
          <w:color w:val="0066CC"/>
        </w:rPr>
        <w:t>Diapositiva 13 – Recomendaciones</w:t>
      </w:r>
    </w:p>
    <w:p>
      <w:pPr>
        <w:pStyle w:val="ListBullet"/>
        <w:keepLines w:val="1"/>
        <w:keepNext w:val="1"/>
        <w:widowControl w:val="1"/>
      </w:pPr>
      <w:r>
        <w:t xml:space="preserve">A nivel de país:  </w:t>
      </w:r>
    </w:p>
    <w:p>
      <w:pPr>
        <w:pStyle w:val="ListBullet"/>
        <w:keepLines w:val="1"/>
        <w:keepNext w:val="1"/>
        <w:widowControl w:val="1"/>
      </w:pPr>
      <w:r>
        <w:t xml:space="preserve">Integrar CWE en guías técnicas y marcos regulatorios.  </w:t>
      </w:r>
    </w:p>
    <w:p>
      <w:pPr>
        <w:pStyle w:val="ListBullet"/>
        <w:keepLines w:val="1"/>
        <w:keepNext w:val="1"/>
        <w:widowControl w:val="1"/>
      </w:pPr>
      <w:r>
        <w:t xml:space="preserve">Exigir mapeo CWE en repositorios y pliegos TIC.  </w:t>
      </w:r>
    </w:p>
    <w:p>
      <w:pPr>
        <w:pStyle w:val="ListBullet"/>
        <w:keepLines w:val="1"/>
        <w:keepNext w:val="1"/>
        <w:widowControl w:val="1"/>
      </w:pPr>
      <w:r>
        <w:t xml:space="preserve">A nivel sectorial:  </w:t>
      </w:r>
    </w:p>
    <w:p>
      <w:pPr>
        <w:pStyle w:val="ListBullet"/>
        <w:keepLines w:val="1"/>
        <w:keepNext w:val="1"/>
        <w:widowControl w:val="1"/>
      </w:pPr>
      <w:r>
        <w:t xml:space="preserve">Focalizar esfuerzos en las CWE predominantes por sector.  </w:t>
      </w:r>
    </w:p>
    <w:p>
      <w:pPr>
        <w:pStyle w:val="ListBullet"/>
        <w:keepLines w:val="1"/>
        <w:keepNext w:val="1"/>
        <w:widowControl w:val="1"/>
      </w:pPr>
      <w:r>
        <w:t xml:space="preserve">A nivel organizativo:  </w:t>
      </w:r>
    </w:p>
    <w:p>
      <w:pPr>
        <w:pStyle w:val="ListBullet"/>
        <w:keepLines w:val="1"/>
        <w:widowControl w:val="1"/>
      </w:pPr>
      <w:r>
        <w:t>Reducir tiempos de remediación en debilidades prioritarias; consolidar métricas internas.</w:t>
      </w:r>
    </w:p>
    <w:p>
      <w:pPr>
        <w:pStyle w:val="Heading2"/>
        <w:keepNext/>
        <w:keepLines/>
      </w:pPr>
      <w:r>
        <w:rPr>
          <w:color w:val="0066CC"/>
        </w:rPr>
        <w:t>Diapositiva 14 – Hoja de ruta</w:t>
      </w:r>
    </w:p>
    <w:p>
      <w:pPr>
        <w:pStyle w:val="ListBullet"/>
        <w:keepLines w:val="1"/>
        <w:keepNext w:val="1"/>
        <w:widowControl w:val="1"/>
      </w:pPr>
      <w:r>
        <w:t xml:space="preserve">Corto plazo: consolidar repositorios y taxonomías.  </w:t>
      </w:r>
    </w:p>
    <w:p>
      <w:pPr>
        <w:pStyle w:val="ListBullet"/>
        <w:keepLines w:val="1"/>
        <w:keepNext w:val="1"/>
        <w:widowControl w:val="1"/>
      </w:pPr>
      <w:r>
        <w:t xml:space="preserve">Medio plazo: estabilizar el panel de métricas y repetir medición.  </w:t>
      </w:r>
    </w:p>
    <w:p>
      <w:pPr>
        <w:pStyle w:val="ListBullet"/>
        <w:keepLines w:val="1"/>
        <w:widowControl w:val="1"/>
      </w:pPr>
      <w:r>
        <w:t>Largo plazo: refinar índices (IGM), conectar con modelos de ROI y políticas de incentivos.</w:t>
      </w:r>
    </w:p>
    <w:p>
      <w:pPr>
        <w:pStyle w:val="Heading2"/>
        <w:keepNext/>
        <w:keepLines/>
      </w:pPr>
      <w:r>
        <w:rPr>
          <w:color w:val="0066CC"/>
        </w:rPr>
        <w:t>Diapositiva 15 – Cierre</w:t>
      </w:r>
    </w:p>
    <w:p>
      <w:pPr>
        <w:pStyle w:val="ListBullet"/>
        <w:keepLines w:val="1"/>
        <w:keepNext w:val="1"/>
        <w:widowControl w:val="1"/>
      </w:pPr>
      <w:r>
        <w:t xml:space="preserve">Recordatorio de que “lo que no se mide se improvisa”.  </w:t>
      </w:r>
    </w:p>
    <w:p>
      <w:pPr>
        <w:pStyle w:val="ListBullet"/>
        <w:keepLines w:val="1"/>
        <w:widowControl w:val="1"/>
      </w:pPr>
      <w:r>
        <w:t>Invitación a los decisores a tratar las métricas no como adorno, sino como herramienta incómoda y útil.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