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Encuesta CWE</w:t>
      </w:r>
    </w:p>
    <w:p>
      <w:r>
        <w:t>A continuación se describe una posible estructura de presentación para comunicar a la alta dirección los resultados de la encuesta y los indicadores derivados (IGM, ROI, etc.).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“Indicadores de Gestión de Debilidades (CWE) – Informe Ejecutivo”</w:t>
      </w:r>
    </w:p>
    <w:p>
      <w:pPr>
        <w:pStyle w:val="ListBullet"/>
        <w:keepLines w:val="1"/>
        <w:keepNext w:val="1"/>
        <w:widowControl w:val="1"/>
      </w:pPr>
      <w:r>
        <w:t>Subtítulo: “Resultados de la Encuesta a Organizaciones”</w:t>
      </w:r>
    </w:p>
    <w:p>
      <w:pPr>
        <w:pStyle w:val="ListBullet"/>
        <w:keepLines w:val="1"/>
        <w:keepNext w:val="1"/>
        <w:widowControl w:val="1"/>
      </w:pPr>
      <w:r>
        <w:t>Fecha</w:t>
      </w:r>
    </w:p>
    <w:p>
      <w:pPr>
        <w:pStyle w:val="ListBullet"/>
        <w:keepLines w:val="1"/>
        <w:widowControl w:val="1"/>
      </w:pPr>
      <w:r>
        <w:t>Logo(s) de la entidad responsable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>Breve explicación de qué es CWE y por qué nos interesa.</w:t>
      </w:r>
    </w:p>
    <w:p>
      <w:pPr>
        <w:pStyle w:val="ListBullet"/>
        <w:keepLines w:val="1"/>
        <w:keepNext w:val="1"/>
        <w:widowControl w:val="1"/>
      </w:pPr>
      <w:r>
        <w:t>Objetivo de la encuesta: medir madurez en gestión de debilidades, no señalar culpables.</w:t>
      </w:r>
    </w:p>
    <w:p>
      <w:pPr>
        <w:pStyle w:val="ListBullet"/>
        <w:keepLines w:val="1"/>
        <w:widowControl w:val="1"/>
      </w:pPr>
      <w:r>
        <w:t>Alcance: número de organizaciones, sectores incluidos, periodo de recogida.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>Resumen del cuestionario y de los bloques de preguntas.</w:t>
      </w:r>
    </w:p>
    <w:p>
      <w:pPr>
        <w:pStyle w:val="ListBullet"/>
        <w:keepLines w:val="1"/>
        <w:keepNext w:val="1"/>
        <w:widowControl w:val="1"/>
      </w:pPr>
      <w:r>
        <w:t>Mención al Índice de Gestión de Debilidades (IGM).</w:t>
      </w:r>
    </w:p>
    <w:p>
      <w:pPr>
        <w:pStyle w:val="ListBullet"/>
        <w:keepLines w:val="1"/>
        <w:widowControl w:val="1"/>
      </w:pPr>
      <w:r>
        <w:t>Notas sobre el tratamiento de datos (anonimato, codificación, normalización).</w:t>
      </w:r>
    </w:p>
    <w:p>
      <w:pPr>
        <w:pStyle w:val="Heading2"/>
        <w:keepNext/>
        <w:keepLines/>
      </w:pPr>
      <w:r>
        <w:rPr>
          <w:color w:val="0066CC"/>
        </w:rPr>
        <w:t>Diapositiva 4 – Perfil de las organizaciones participantes</w:t>
      </w:r>
    </w:p>
    <w:p>
      <w:pPr>
        <w:pStyle w:val="ListBullet"/>
        <w:keepLines w:val="1"/>
        <w:keepNext w:val="1"/>
        <w:widowControl w:val="1"/>
      </w:pPr>
      <w:r>
        <w:t>Gráfico de barras: distribución por sector.</w:t>
      </w:r>
    </w:p>
    <w:p>
      <w:pPr>
        <w:pStyle w:val="ListBullet"/>
        <w:keepLines w:val="1"/>
        <w:keepNext w:val="1"/>
        <w:widowControl w:val="1"/>
      </w:pPr>
      <w:r>
        <w:t>Gráfico de barras: distribución por tamaño.</w:t>
      </w:r>
    </w:p>
    <w:p>
      <w:pPr>
        <w:pStyle w:val="ListBullet"/>
        <w:keepLines w:val="1"/>
        <w:widowControl w:val="1"/>
      </w:pPr>
      <w:r>
        <w:t>Nota sobre tipos de sistemas críticos representados.</w:t>
      </w:r>
    </w:p>
    <w:p>
      <w:pPr>
        <w:pStyle w:val="Heading2"/>
        <w:keepNext/>
        <w:keepLines/>
      </w:pPr>
      <w:r>
        <w:rPr>
          <w:color w:val="0066CC"/>
        </w:rPr>
        <w:t>Diapositiva 5 – Adopción de CWE como taxonomía</w:t>
      </w:r>
    </w:p>
    <w:p>
      <w:pPr>
        <w:pStyle w:val="ListBullet"/>
        <w:keepLines w:val="1"/>
        <w:keepNext w:val="1"/>
        <w:widowControl w:val="1"/>
      </w:pPr>
      <w:r>
        <w:t>Indicador: % de organizaciones que usan CWE formalmente.</w:t>
      </w:r>
    </w:p>
    <w:p>
      <w:pPr>
        <w:pStyle w:val="ListBullet"/>
        <w:keepLines w:val="1"/>
        <w:keepNext w:val="1"/>
        <w:widowControl w:val="1"/>
      </w:pPr>
      <w:r>
        <w:t>Gráfico simple (por ejemplo, barras o donut).</w:t>
      </w:r>
    </w:p>
    <w:p>
      <w:pPr>
        <w:pStyle w:val="ListBullet"/>
        <w:keepLines w:val="1"/>
        <w:widowControl w:val="1"/>
      </w:pPr>
      <w:r>
        <w:t>Comentario breve sobre diferencias por sector o tamaño.</w:t>
      </w:r>
    </w:p>
    <w:p>
      <w:pPr>
        <w:pStyle w:val="Heading2"/>
        <w:keepNext/>
        <w:keepLines/>
      </w:pPr>
      <w:r>
        <w:rPr>
          <w:color w:val="0066CC"/>
        </w:rPr>
        <w:t>Diapositiva 6 – Uso de listas priorizadas (Top 25, KEV, MIHW)</w:t>
      </w:r>
    </w:p>
    <w:p>
      <w:pPr>
        <w:pStyle w:val="ListBullet"/>
        <w:keepLines w:val="1"/>
        <w:keepNext w:val="1"/>
        <w:widowControl w:val="1"/>
      </w:pPr>
      <w:r>
        <w:t>% de organizaciones que utilizan el Top 25 para priorizar.</w:t>
      </w:r>
    </w:p>
    <w:p>
      <w:pPr>
        <w:pStyle w:val="ListBullet"/>
        <w:keepLines w:val="1"/>
        <w:keepNext w:val="1"/>
        <w:widowControl w:val="1"/>
      </w:pPr>
      <w:r>
        <w:t>% que consideran KEV en la priorización de parches.</w:t>
      </w:r>
    </w:p>
    <w:p>
      <w:pPr>
        <w:pStyle w:val="ListBullet"/>
        <w:keepLines w:val="1"/>
        <w:widowControl w:val="1"/>
      </w:pPr>
      <w:r>
        <w:t>Si procede, datos sobre MIHW en organizaciones con hardware propio.</w:t>
      </w:r>
    </w:p>
    <w:p>
      <w:pPr>
        <w:pStyle w:val="Heading2"/>
        <w:keepNext/>
        <w:keepLines/>
      </w:pPr>
      <w:r>
        <w:rPr>
          <w:color w:val="0066CC"/>
        </w:rPr>
        <w:t>Diapositiva 7 – Métricas internas y reporting</w:t>
      </w:r>
    </w:p>
    <w:p>
      <w:pPr>
        <w:pStyle w:val="ListBullet"/>
        <w:keepLines w:val="1"/>
        <w:keepNext w:val="1"/>
        <w:widowControl w:val="1"/>
      </w:pPr>
      <w:r>
        <w:t>% de organizaciones con métricas de prevalencia de debilidades.</w:t>
      </w:r>
    </w:p>
    <w:p>
      <w:pPr>
        <w:pStyle w:val="ListBullet"/>
        <w:keepLines w:val="1"/>
        <w:keepNext w:val="1"/>
        <w:widowControl w:val="1"/>
      </w:pPr>
      <w:r>
        <w:t>% que miden tiempos de remediación por tipo de CWE.</w:t>
      </w:r>
    </w:p>
    <w:p>
      <w:pPr>
        <w:pStyle w:val="ListBullet"/>
        <w:keepLines w:val="1"/>
        <w:widowControl w:val="1"/>
      </w:pPr>
      <w:r>
        <w:t>% que reportan indicadores basados en CWE a la alta dirección.</w:t>
      </w:r>
    </w:p>
    <w:p>
      <w:pPr>
        <w:pStyle w:val="Heading2"/>
        <w:keepNext/>
        <w:keepLines/>
      </w:pPr>
      <w:r>
        <w:rPr>
          <w:color w:val="0066CC"/>
        </w:rPr>
        <w:t>Diapositiva 8 – Índice de Gestión de Debilidades (IGM)</w:t>
      </w:r>
    </w:p>
    <w:p>
      <w:pPr>
        <w:pStyle w:val="ListBullet"/>
        <w:keepLines w:val="1"/>
        <w:keepNext w:val="1"/>
        <w:widowControl w:val="1"/>
      </w:pPr>
      <w:r>
        <w:t>Valor medio de IGM global.</w:t>
      </w:r>
    </w:p>
    <w:p>
      <w:pPr>
        <w:pStyle w:val="ListBullet"/>
        <w:keepLines w:val="1"/>
        <w:keepNext w:val="1"/>
        <w:widowControl w:val="1"/>
      </w:pPr>
      <w:r>
        <w:t>Rango (mínimo, máximo).</w:t>
      </w:r>
    </w:p>
    <w:p>
      <w:pPr>
        <w:pStyle w:val="ListBullet"/>
        <w:keepLines w:val="1"/>
        <w:widowControl w:val="1"/>
      </w:pPr>
      <w:r>
        <w:t>Gráfico de cajas o distribución.</w:t>
      </w:r>
    </w:p>
    <w:p>
      <w:pPr>
        <w:pStyle w:val="Heading2"/>
        <w:keepNext/>
        <w:keepLines/>
      </w:pPr>
      <w:r>
        <w:rPr>
          <w:color w:val="0066CC"/>
        </w:rPr>
        <w:t>Diapositiva 9 – IGM por sector y tamaño</w:t>
      </w:r>
    </w:p>
    <w:p>
      <w:pPr>
        <w:pStyle w:val="ListBullet"/>
        <w:keepLines w:val="1"/>
        <w:keepNext w:val="1"/>
        <w:widowControl w:val="1"/>
      </w:pPr>
      <w:r>
        <w:t>Gráfico comparativo de IGM medio por sector.</w:t>
      </w:r>
    </w:p>
    <w:p>
      <w:pPr>
        <w:pStyle w:val="ListBullet"/>
        <w:keepLines w:val="1"/>
        <w:keepNext w:val="1"/>
        <w:widowControl w:val="1"/>
      </w:pPr>
      <w:r>
        <w:t>Gráfico de IGM por categoría de tamaño.</w:t>
      </w:r>
    </w:p>
    <w:p>
      <w:pPr>
        <w:pStyle w:val="ListBullet"/>
        <w:keepLines w:val="1"/>
        <w:widowControl w:val="1"/>
      </w:pPr>
      <w:r>
        <w:t>Comentarios sobre patrones relevantes (sin señalar nombres).</w:t>
      </w:r>
    </w:p>
    <w:p>
      <w:pPr>
        <w:pStyle w:val="Heading2"/>
        <w:keepNext/>
        <w:keepLines/>
      </w:pPr>
      <w:r>
        <w:rPr>
          <w:color w:val="0066CC"/>
        </w:rPr>
        <w:t>Diapositiva 10 – Relación entre gestión de debilidades e impacto</w:t>
      </w:r>
    </w:p>
    <w:p>
      <w:pPr>
        <w:pStyle w:val="ListBullet"/>
        <w:keepLines w:val="1"/>
        <w:keepNext w:val="1"/>
        <w:widowControl w:val="1"/>
      </w:pPr>
      <w:r>
        <w:t>Resultados cualitativos / cuantitativos sobre modelos de coste de incidentes.</w:t>
      </w:r>
    </w:p>
    <w:p>
      <w:pPr>
        <w:pStyle w:val="ListBullet"/>
        <w:keepLines w:val="1"/>
        <w:keepNext w:val="1"/>
        <w:widowControl w:val="1"/>
      </w:pPr>
      <w:r>
        <w:t>Si existen datos, gráfico IGM vs. coste anual de incidentes.</w:t>
      </w:r>
    </w:p>
    <w:p>
      <w:pPr>
        <w:pStyle w:val="ListBullet"/>
        <w:keepLines w:val="1"/>
        <w:widowControl w:val="1"/>
      </w:pPr>
      <w:r>
        <w:t>Mensaje clave: la madurez no es gratuita, pero la improvisación sale más cara.</w:t>
      </w:r>
    </w:p>
    <w:p>
      <w:pPr>
        <w:pStyle w:val="Heading2"/>
        <w:keepNext/>
        <w:keepLines/>
      </w:pPr>
      <w:r>
        <w:rPr>
          <w:color w:val="0066CC"/>
        </w:rPr>
        <w:t>Diapositiva 11 – Barreras y necesidades identificadas</w:t>
      </w:r>
    </w:p>
    <w:p>
      <w:pPr>
        <w:pStyle w:val="ListBullet"/>
        <w:keepLines w:val="1"/>
        <w:keepNext w:val="1"/>
        <w:widowControl w:val="1"/>
      </w:pPr>
      <w:r>
        <w:t>Principales obstáculos citados por las organizaciones (falta de herramientas, tiempo, competencias, etc.).</w:t>
      </w:r>
    </w:p>
    <w:p>
      <w:pPr>
        <w:pStyle w:val="ListBullet"/>
        <w:keepLines w:val="1"/>
        <w:widowControl w:val="1"/>
      </w:pPr>
      <w:r>
        <w:t>Necesidades de apoyo percibidas (guías, formación, referentes normativos claros).</w:t>
      </w:r>
    </w:p>
    <w:p>
      <w:pPr>
        <w:pStyle w:val="Heading2"/>
        <w:keepNext/>
        <w:keepLines/>
      </w:pPr>
      <w:r>
        <w:rPr>
          <w:color w:val="0066CC"/>
        </w:rPr>
        <w:t>Diapositiva 12 – Recomendaciones estratégicas</w:t>
      </w:r>
    </w:p>
    <w:p>
      <w:pPr>
        <w:pStyle w:val="ListBullet"/>
        <w:keepLines w:val="1"/>
        <w:keepNext w:val="1"/>
        <w:widowControl w:val="1"/>
      </w:pPr>
      <w:r>
        <w:t>Integrar CWE en marcos de gobierno y cumplimiento.</w:t>
      </w:r>
    </w:p>
    <w:p>
      <w:pPr>
        <w:pStyle w:val="ListBullet"/>
        <w:keepLines w:val="1"/>
        <w:keepNext w:val="1"/>
        <w:widowControl w:val="1"/>
      </w:pPr>
      <w:r>
        <w:t>Impulsar repositorios unificados de vulnerabilidades con campos CWE.</w:t>
      </w:r>
    </w:p>
    <w:p>
      <w:pPr>
        <w:pStyle w:val="ListBullet"/>
        <w:keepLines w:val="1"/>
        <w:widowControl w:val="1"/>
      </w:pPr>
      <w:r>
        <w:t>Establecer objetivos de reducción de debilidades alineados con referencias internacionales.</w:t>
      </w:r>
    </w:p>
    <w:p>
      <w:pPr>
        <w:pStyle w:val="Heading2"/>
        <w:keepNext/>
        <w:keepLines/>
      </w:pPr>
      <w:r>
        <w:rPr>
          <w:color w:val="0066CC"/>
        </w:rPr>
        <w:t>Diapositiva 13 – Próximos pasos</w:t>
      </w:r>
    </w:p>
    <w:p>
      <w:pPr>
        <w:pStyle w:val="ListBullet"/>
        <w:keepLines w:val="1"/>
        <w:keepNext w:val="1"/>
        <w:widowControl w:val="1"/>
      </w:pPr>
      <w:r>
        <w:t>Propuesta de periodicidad de la encuesta.</w:t>
      </w:r>
    </w:p>
    <w:p>
      <w:pPr>
        <w:pStyle w:val="ListBullet"/>
        <w:keepLines w:val="1"/>
        <w:keepNext w:val="1"/>
        <w:widowControl w:val="1"/>
      </w:pPr>
      <w:r>
        <w:t>Desarrollo de herramientas de apoyo (guías de mapeo, plantillas de Excel, etc.).</w:t>
      </w:r>
    </w:p>
    <w:p>
      <w:pPr>
        <w:pStyle w:val="ListBullet"/>
        <w:keepLines w:val="1"/>
        <w:widowControl w:val="1"/>
      </w:pPr>
      <w:r>
        <w:t>Posibles líneas de colaboración (sector público–privado, academia–industria).</w:t>
      </w:r>
    </w:p>
    <w:p>
      <w:pPr>
        <w:pStyle w:val="Heading2"/>
        <w:keepNext/>
        <w:keepLines/>
      </w:pPr>
      <w:r>
        <w:rPr>
          <w:color w:val="0066CC"/>
        </w:rPr>
        <w:t>Diapositiva 14 – Cierre</w:t>
      </w:r>
    </w:p>
    <w:p>
      <w:pPr>
        <w:pStyle w:val="ListBullet"/>
        <w:keepLines w:val="1"/>
        <w:keepNext w:val="1"/>
        <w:widowControl w:val="1"/>
      </w:pPr>
      <w:r>
        <w:t>Mensaje final: “Las debilidades no desaparecerán, pero podemos aprender a vivir mejor con ellas si las conocemos por su nombre.”</w:t>
      </w:r>
    </w:p>
    <w:p>
      <w:pPr>
        <w:pStyle w:val="ListBullet"/>
        <w:keepLines w:val="1"/>
        <w:widowControl w:val="1"/>
      </w:pPr>
      <w:r>
        <w:t>Contacto para más información.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