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de Encuesta sobre Indicadores CWE</w:t>
      </w:r>
    </w:p>
    <w:p>
      <w:pPr>
        <w:pStyle w:val="Heading2"/>
        <w:keepNext/>
        <w:keepLines/>
      </w:pPr>
      <w:r>
        <w:rPr>
          <w:color w:val="0066CC"/>
        </w:rPr>
        <w:t>1. ¿Qué es este kit?</w:t>
      </w:r>
    </w:p>
    <w:p>
      <w:r>
        <w:t>Este kit reúne los materiales necesarios para aplicar una encuesta sobre la madurez en gestión de debilidades de software y hardware, utilizando el marco CWE como eje central. No pretende sustituir a ninguna norma oficial, pero sí proporcionar una base sólida, estructurada y un tanto literaria para quien desee medir con algo de rigor.</w:t>
      </w:r>
    </w:p>
    <w:p>
      <w:r>
        <w:t>Incluye:</w:t>
      </w:r>
    </w:p>
    <w:p>
      <w:pPr>
        <w:pStyle w:val="ListBullet"/>
        <w:keepLines w:val="1"/>
        <w:keepNext w:val="1"/>
        <w:widowControl w:val="1"/>
      </w:pPr>
      <w:r>
        <w:t>01-encuesta-integral-cwe.md – Cuestionario completo para organizaciones.</w:t>
      </w:r>
    </w:p>
    <w:p>
      <w:pPr>
        <w:pStyle w:val="ListBullet"/>
        <w:keepLines w:val="1"/>
        <w:keepNext w:val="1"/>
        <w:widowControl w:val="1"/>
      </w:pPr>
      <w:r>
        <w:t>02-guia-metodologica-encuesta-cwe.md – Metodología de aplicación y análisis.</w:t>
      </w:r>
    </w:p>
    <w:p>
      <w:pPr>
        <w:pStyle w:val="ListBullet"/>
        <w:keepLines w:val="1"/>
        <w:keepNext w:val="1"/>
        <w:widowControl w:val="1"/>
      </w:pPr>
      <w:r>
        <w:t>03-narrativa-explicativa-encuesta-cwe.md – Marco narrativo y propósito.</w:t>
      </w:r>
    </w:p>
    <w:p>
      <w:pPr>
        <w:pStyle w:val="ListBullet"/>
        <w:keepLines w:val="1"/>
        <w:keepNext w:val="1"/>
        <w:widowControl w:val="1"/>
      </w:pPr>
      <w:r>
        <w:t>04-mapeo-preguntas-a-normativa.md – Relación entre preguntas y marcos normativos.</w:t>
      </w:r>
    </w:p>
    <w:p>
      <w:pPr>
        <w:pStyle w:val="ListBullet"/>
        <w:keepLines w:val="1"/>
        <w:keepNext w:val="1"/>
        <w:widowControl w:val="1"/>
      </w:pPr>
      <w:r>
        <w:t>05-plantilla-excel-igm-roi.md – Descripción de la plantilla para cálculo de IGM y ROI.</w:t>
      </w:r>
    </w:p>
    <w:p>
      <w:pPr>
        <w:pStyle w:val="ListBullet"/>
        <w:keepLines w:val="1"/>
        <w:keepNext w:val="1"/>
        <w:widowControl w:val="1"/>
      </w:pPr>
      <w:r>
        <w:t>06-plantilla-reporte-ejecutivo-ppt.md – Estructura sugerida de presentación ejecutiva.</w:t>
      </w:r>
    </w:p>
    <w:p>
      <w:pPr>
        <w:pStyle w:val="ListBullet"/>
        <w:keepLines w:val="1"/>
        <w:widowControl w:val="1"/>
      </w:pPr>
      <w:r>
        <w:t>07-README-kit-encuesta-cwe.md – Este propio archivo.</w:t>
      </w:r>
    </w:p>
    <w:p>
      <w:pPr>
        <w:pStyle w:val="Heading2"/>
        <w:keepNext/>
        <w:keepLines/>
      </w:pPr>
      <w:r>
        <w:rPr>
          <w:color w:val="0066CC"/>
        </w:rPr>
        <w:t>2. Cómo empezar</w:t>
      </w:r>
    </w:p>
    <w:p>
      <w:pPr>
        <w:pStyle w:val="ListNumber"/>
        <w:keepLines w:val="1"/>
        <w:keepNext w:val="1"/>
        <w:widowControl w:val="1"/>
      </w:pPr>
      <w:r>
        <w:t>Lea la Guía Metodológica para entender la lógica de la encuesta.</w:t>
      </w:r>
    </w:p>
    <w:p>
      <w:pPr>
        <w:pStyle w:val="ListNumber"/>
        <w:keepLines w:val="1"/>
        <w:keepNext w:val="1"/>
        <w:widowControl w:val="1"/>
      </w:pPr>
      <w:r>
        <w:t>Adapte el Modelo de Encuesta a su contexto (sector, país, requisitos adicionales), manteniendo en lo posible la estructura básica.</w:t>
      </w:r>
    </w:p>
    <w:p>
      <w:pPr>
        <w:pStyle w:val="ListNumber"/>
        <w:keepLines w:val="1"/>
        <w:keepNext w:val="1"/>
        <w:widowControl w:val="1"/>
      </w:pPr>
      <w:r>
        <w:t>Configure una herramienta de encuesta o un formulario basado en 01-encuesta-integral-cwe.md.</w:t>
      </w:r>
    </w:p>
    <w:p>
      <w:pPr>
        <w:pStyle w:val="ListNumber"/>
        <w:keepLines w:val="1"/>
        <w:keepNext w:val="1"/>
        <w:widowControl w:val="1"/>
      </w:pPr>
      <w:r>
        <w:t>Defina su estrategia de muestreo (qué organizaciones, cuántas, en qué sectores).</w:t>
      </w:r>
    </w:p>
    <w:p>
      <w:pPr>
        <w:pStyle w:val="ListNumber"/>
        <w:keepLines w:val="1"/>
        <w:widowControl w:val="1"/>
      </w:pPr>
      <w:r>
        <w:t>Comunique a los participantes el propósito, la confidencialidad y el tiempo estimado.</w:t>
      </w:r>
    </w:p>
    <w:p>
      <w:pPr>
        <w:pStyle w:val="Heading2"/>
        <w:keepNext/>
        <w:keepLines/>
      </w:pPr>
      <w:r>
        <w:rPr>
          <w:color w:val="0066CC"/>
        </w:rPr>
        <w:t>3. Cómo procesar los resultados</w:t>
      </w:r>
    </w:p>
    <w:p>
      <w:pPr>
        <w:pStyle w:val="ListNumber"/>
        <w:keepLines w:val="1"/>
        <w:keepNext w:val="1"/>
        <w:widowControl w:val="1"/>
      </w:pPr>
      <w:r>
        <w:t>Codifique las respuestas según el esquema descrito en 02-guia-metodologica-encuesta-cwe.md.</w:t>
      </w:r>
    </w:p>
    <w:p>
      <w:pPr>
        <w:pStyle w:val="ListNumber"/>
        <w:keepLines w:val="1"/>
        <w:keepNext w:val="1"/>
        <w:widowControl w:val="1"/>
      </w:pPr>
      <w:r>
        <w:t>Implemente la hoja de cálculo descrita en 05-plantilla-excel-igm-roi.md.</w:t>
      </w:r>
    </w:p>
    <w:p>
      <w:pPr>
        <w:pStyle w:val="ListNumber"/>
        <w:keepLines w:val="1"/>
        <w:keepNext w:val="1"/>
        <w:widowControl w:val="1"/>
      </w:pPr>
      <w:r>
        <w:t>Calcule el Índice de Gestión de Debilidades (IGM) para cada organización.</w:t>
      </w:r>
    </w:p>
    <w:p>
      <w:pPr>
        <w:pStyle w:val="ListNumber"/>
        <w:keepLines w:val="1"/>
        <w:keepNext w:val="1"/>
        <w:widowControl w:val="1"/>
      </w:pPr>
      <w:r>
        <w:t>Analice patrones por sector, tamaño, tipo de sistemas críticos, etc.</w:t>
      </w:r>
    </w:p>
    <w:p>
      <w:pPr>
        <w:pStyle w:val="ListNumber"/>
        <w:keepLines w:val="1"/>
        <w:widowControl w:val="1"/>
      </w:pPr>
      <w:r>
        <w:t>Si dispone de datos económicos, experimente con la hoja de ROI para ilustrar el impacto.</w:t>
      </w:r>
    </w:p>
    <w:p>
      <w:pPr>
        <w:pStyle w:val="Heading2"/>
        <w:keepNext/>
        <w:keepLines/>
      </w:pPr>
      <w:r>
        <w:rPr>
          <w:color w:val="0066CC"/>
        </w:rPr>
        <w:t>4. Cómo comunicar los hallazgos</w:t>
      </w:r>
    </w:p>
    <w:p>
      <w:pPr>
        <w:pStyle w:val="ListNumber"/>
        <w:keepLines w:val="1"/>
        <w:keepNext w:val="1"/>
        <w:widowControl w:val="1"/>
      </w:pPr>
      <w:r>
        <w:t>Utilice la Plantilla de Reporte Ejecutivo (06-plantilla-reporte-ejecutivo-ppt.md) para construir una presentación clara y digerible para la alta dirección.</w:t>
      </w:r>
    </w:p>
    <w:p>
      <w:pPr>
        <w:pStyle w:val="ListNumber"/>
        <w:keepLines w:val="1"/>
        <w:keepNext w:val="1"/>
        <w:widowControl w:val="1"/>
      </w:pPr>
      <w:r>
        <w:t>Elabore, si procede, informes sectoriales o nacionales en los que se comparen los resultados agregados.</w:t>
      </w:r>
    </w:p>
    <w:p>
      <w:pPr>
        <w:pStyle w:val="ListNumber"/>
        <w:keepLines w:val="1"/>
        <w:widowControl w:val="1"/>
      </w:pPr>
      <w:r>
        <w:t>Devuelva a cada organización un resumen de su posición relativa (anónimo), para fomentar la mejora continua.</w:t>
      </w:r>
    </w:p>
    <w:p>
      <w:pPr>
        <w:pStyle w:val="Heading2"/>
        <w:keepNext/>
        <w:keepLines/>
      </w:pPr>
      <w:r>
        <w:rPr>
          <w:color w:val="0066CC"/>
        </w:rPr>
        <w:t>5. Adaptación y evolución</w:t>
      </w:r>
    </w:p>
    <w:p>
      <w:r>
        <w:t>Este kit está diseñado para ser:</w:t>
      </w:r>
    </w:p>
    <w:p>
      <w:pPr>
        <w:pStyle w:val="ListBullet"/>
        <w:keepLines w:val="1"/>
        <w:keepNext w:val="1"/>
        <w:widowControl w:val="1"/>
      </w:pPr>
      <w:r>
        <w:t>Adaptable: puede ajustarse a marcos regulatorios específicos, a nuevos desarrollos en CWE (nuevas vistas, cambios en Top 25, MIHW, etc.) y a requisitos locales.</w:t>
      </w:r>
    </w:p>
    <w:p>
      <w:pPr>
        <w:pStyle w:val="ListBullet"/>
        <w:keepLines w:val="1"/>
        <w:keepNext w:val="1"/>
        <w:widowControl w:val="1"/>
      </w:pPr>
      <w:r>
        <w:t>Evolutivo: con el tiempo, es razonable incorporar nuevas preguntas o refinar las existentes en función de la experiencia.</w:t>
      </w:r>
    </w:p>
    <w:p>
      <w:pPr>
        <w:pStyle w:val="ListBullet"/>
        <w:keepLines w:val="1"/>
        <w:widowControl w:val="1"/>
      </w:pPr>
      <w:r>
        <w:t>Reutilizable: puede servir como base para proyectos de investigación, ejercicios sectoriales, programas de mejora o incluso para la triste pero necesaria tarea de justificar presupuestos de ciberseguridad.</w:t>
      </w:r>
    </w:p>
    <w:p>
      <w:pPr>
        <w:pStyle w:val="Heading2"/>
        <w:keepNext/>
        <w:keepLines/>
      </w:pPr>
      <w:r>
        <w:rPr>
          <w:color w:val="0066CC"/>
        </w:rPr>
        <w:t>6. Limitaciones y advertencias amistosas</w:t>
      </w:r>
    </w:p>
    <w:p>
      <w:pPr>
        <w:pStyle w:val="ListBullet"/>
        <w:keepLines w:val="1"/>
        <w:keepNext w:val="1"/>
        <w:widowControl w:val="1"/>
      </w:pPr>
      <w:r>
        <w:t>La encuesta mide madurez percibida y declarada, no sustituye a auditorías técnicas ni a pruebas objetivas.</w:t>
      </w:r>
    </w:p>
    <w:p>
      <w:pPr>
        <w:pStyle w:val="ListBullet"/>
        <w:keepLines w:val="1"/>
        <w:keepNext w:val="1"/>
        <w:widowControl w:val="1"/>
      </w:pPr>
      <w:r>
        <w:t>Los índices como el IGM son herramientas para la reflexión y la comparación, no sentencias absolutas.</w:t>
      </w:r>
    </w:p>
    <w:p>
      <w:pPr>
        <w:pStyle w:val="ListBullet"/>
        <w:keepLines w:val="1"/>
        <w:widowControl w:val="1"/>
      </w:pPr>
      <w:r>
        <w:t>La ironía ocasional en los textos pretende hacer más llevadero un tema denso, no restar seriedad al asunto.</w:t>
      </w:r>
    </w:p>
    <w:p>
      <w:pPr>
        <w:pStyle w:val="Heading2"/>
        <w:keepNext/>
        <w:keepLines/>
      </w:pPr>
      <w:r>
        <w:rPr>
          <w:color w:val="0066CC"/>
        </w:rPr>
        <w:t>7. Contacto y contribuciones</w:t>
      </w:r>
    </w:p>
    <w:p>
      <w:r>
        <w:t>Si adapta este kit, mejora las preguntas, define mejores pesos para el IGM o descubre nuevas formas de convencer a su organización de que CWE merece un lugar en la mesa, considere documentar esos avances. El conocimiento compartido suele ser menos vulnerable que el guardado en un cajón.</w:t>
      </w:r>
    </w:p>
    <w:p>
      <w:r>
        <w:t>Y recuerde: las debilidades no son un fallo moral, sino un estado natural de cualquier sistema complejo. Lo irresponsable no es tenerlas, sino ignorarlas.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