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CWE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Este kit complementa el “Kit de Encuesta CWE” anterior incorporando:</w:t>
      </w:r>
    </w:p>
    <w:p>
      <w:pPr>
        <w:pStyle w:val="ListBullet"/>
        <w:keepLines w:val="1"/>
        <w:keepNext w:val="1"/>
        <w:widowControl w:val="1"/>
      </w:pPr>
      <w:r>
        <w:t xml:space="preserve">01-marco-integrativo-gqm-pragmatic.md – Descripción del marco GQM + PRAGMATIC aplicado a indicadores CWE.  </w:t>
      </w:r>
    </w:p>
    <w:p>
      <w:pPr>
        <w:pStyle w:val="ListBullet"/>
        <w:keepLines w:val="1"/>
        <w:keepNext w:val="1"/>
        <w:widowControl w:val="1"/>
      </w:pPr>
      <w:r>
        <w:t xml:space="preserve">02-matriz-evaluacion-pragmatic-completa.md – Evaluación detallada de métricas según los criterios PRAGMATIC.  </w:t>
      </w:r>
    </w:p>
    <w:p>
      <w:pPr>
        <w:pStyle w:val="ListBullet"/>
        <w:keepLines w:val="1"/>
        <w:keepNext w:val="1"/>
        <w:widowControl w:val="1"/>
      </w:pPr>
      <w:r>
        <w:t xml:space="preserve">03-narrativa-explicativa-gqm-pragmatic.md – Narrativa de contexto y propósito del enfoque.  </w:t>
      </w:r>
    </w:p>
    <w:p>
      <w:pPr>
        <w:pStyle w:val="ListBullet"/>
        <w:keepLines w:val="1"/>
        <w:keepNext w:val="1"/>
        <w:widowControl w:val="1"/>
      </w:pPr>
      <w:r>
        <w:t xml:space="preserve">04-mapeo-preguntas-normativa-gqm-pragmatic.md – vínculo entre preguntas/métricas y marcos normativos.  </w:t>
      </w:r>
    </w:p>
    <w:p>
      <w:pPr>
        <w:pStyle w:val="ListBullet"/>
        <w:keepLines w:val="1"/>
        <w:keepNext w:val="1"/>
        <w:widowControl w:val="1"/>
      </w:pPr>
      <w:r>
        <w:t xml:space="preserve">05-plantilla-excel-igm-roi-gqm-pragmatic.md – Especificación de la hoja de cálculo para IGM y ROI con trazabilidad GQM/PRAGMATIC.  </w:t>
      </w:r>
    </w:p>
    <w:p>
      <w:pPr>
        <w:pStyle w:val="ListBullet"/>
        <w:keepLines w:val="1"/>
        <w:widowControl w:val="1"/>
      </w:pPr>
      <w:r>
        <w:t xml:space="preserve">06-plantilla-reporte-ejecutivo-ppt-gqm-pragmatic.md – Estructura de presentación ejecutiva alineada con el marco.  </w:t>
      </w:r>
    </w:p>
    <w:p>
      <w:r>
        <w:t>Se asume la existencia previa del kit de encuesta con su cuestionario en detalle.</w:t>
      </w:r>
    </w:p>
    <w:p>
      <w:pPr>
        <w:pStyle w:val="Heading2"/>
        <w:keepNext/>
        <w:keepLines/>
      </w:pPr>
      <w:r>
        <w:rPr>
          <w:color w:val="0066CC"/>
        </w:rPr>
        <w:t>2. Uso recomendado</w:t>
      </w:r>
    </w:p>
    <w:p>
      <w:pPr>
        <w:pStyle w:val="ListNumber"/>
        <w:keepLines w:val="1"/>
        <w:keepNext w:val="1"/>
        <w:widowControl w:val="1"/>
      </w:pPr>
      <w:r>
        <w:br/>
        <w:t>Definir metas nacionales/sectoriales</w:t>
        <w:br/>
        <w:t xml:space="preserve">   Reunir a reguladores, CSIRTs, sector privado y academia para consensuar las metas G1–G4 (u otras similares) y su prioridad relativa. [web:9][web:14][web:13]</w:t>
        <w:br/>
      </w:r>
    </w:p>
    <w:p>
      <w:pPr>
        <w:pStyle w:val="ListNumber"/>
        <w:keepLines w:val="1"/>
        <w:keepNext w:val="1"/>
        <w:widowControl w:val="1"/>
      </w:pPr>
      <w:r>
        <w:br/>
        <w:t>Seleccionar preguntas GQM y métricas</w:t>
        <w:br/>
        <w:t xml:space="preserve">   A partir del marco, elegir un subconjunto de preguntas y métricas que sea operativo en el contexto nacional y sectorial (no es obligatorio usar todas).</w:t>
        <w:br/>
      </w:r>
    </w:p>
    <w:p>
      <w:pPr>
        <w:pStyle w:val="ListNumber"/>
        <w:keepLines w:val="1"/>
        <w:keepNext w:val="1"/>
        <w:widowControl w:val="1"/>
      </w:pPr>
      <w:r>
        <w:br/>
        <w:t>Evaluar métricas con PRAGMATIC</w:t>
        <w:br/>
        <w:t xml:space="preserve">   Utilizar la matriz para filtrar métricas redundantes o de baja utilidad, y priorizar aquellas con mejor puntuación global. [web:21][web:26]</w:t>
        <w:br/>
      </w:r>
    </w:p>
    <w:p>
      <w:pPr>
        <w:pStyle w:val="ListNumber"/>
        <w:keepLines w:val="1"/>
        <w:keepNext w:val="1"/>
        <w:widowControl w:val="1"/>
      </w:pPr>
      <w:r>
        <w:br/>
        <w:t>Implementar la plantilla de Excel</w:t>
        <w:br/>
        <w:t xml:space="preserve">   Construir el libro de cálculo descrito, poblarlo con datos de la encuesta y repositorios técnicos y comenzar a calcular IGM y otros indicadores.</w:t>
        <w:br/>
      </w:r>
    </w:p>
    <w:p>
      <w:pPr>
        <w:pStyle w:val="ListNumber"/>
        <w:keepLines w:val="1"/>
        <w:widowControl w:val="1"/>
      </w:pPr>
      <w:r>
        <w:br/>
        <w:t>Comunicar con la plantilla de PowerPoint</w:t>
        <w:br/>
        <w:t xml:space="preserve">   Traducir el conjunto de métricas seleccionadas en un relato comprensible para la alta dirección, usando la estructura de diapositivas sugerida.</w:t>
        <w:br/>
      </w:r>
    </w:p>
    <w:p>
      <w:r>
        <w:rPr>
          <w:b/>
        </w:rPr>
        <w:t>Definir metas nacionales/sectoriales</w:t>
      </w:r>
      <w:r/>
      <w:r>
        <w:br/>
        <w:t xml:space="preserve">   Reunir a reguladores, CSIRTs, sector privado y academia para consensuar las metas G1–G4 (u otras similares) y su prioridad relativa. [web:9][web:14][web:13]</w:t>
      </w:r>
    </w:p>
    <w:p>
      <w:r>
        <w:rPr>
          <w:b/>
        </w:rPr>
        <w:t>Seleccionar preguntas GQM y métricas</w:t>
      </w:r>
      <w:r/>
      <w:r>
        <w:br/>
        <w:t xml:space="preserve">   A partir del marco, elegir un subconjunto de preguntas y métricas que sea operativo en el contexto nacional y sectorial (no es obligatorio usar todas).</w:t>
      </w:r>
    </w:p>
    <w:p>
      <w:r>
        <w:rPr>
          <w:b/>
        </w:rPr>
        <w:t>Evaluar métricas con PRAGMATIC</w:t>
      </w:r>
      <w:r/>
      <w:r>
        <w:br/>
        <w:t xml:space="preserve">   Utilizar la matriz para filtrar métricas redundantes o de baja utilidad, y priorizar aquellas con mejor puntuación global. [web:21][web:26]</w:t>
      </w:r>
    </w:p>
    <w:p>
      <w:r>
        <w:rPr>
          <w:b/>
        </w:rPr>
        <w:t>Implementar la plantilla de Excel</w:t>
      </w:r>
      <w:r/>
      <w:r>
        <w:br/>
        <w:t xml:space="preserve">   Construir el libro de cálculo descrito, poblarlo con datos de la encuesta y repositorios técnicos y comenzar a calcular IGM y otros indicadores.</w:t>
      </w:r>
    </w:p>
    <w:p>
      <w:r>
        <w:rPr>
          <w:b/>
        </w:rPr>
        <w:t>Comunicar con la plantilla de PowerPoint</w:t>
      </w:r>
      <w:r/>
      <w:r>
        <w:br/>
        <w:t xml:space="preserve">   Traducir el conjunto de métricas seleccionadas en un relato comprensible para la alta dirección, usando la estructura de diapositivas sugerida.</w:t>
      </w:r>
    </w:p>
    <w:p>
      <w:pPr>
        <w:pStyle w:val="Heading2"/>
        <w:keepNext/>
        <w:keepLines/>
      </w:pPr>
      <w:r>
        <w:rPr>
          <w:color w:val="0066CC"/>
        </w:rPr>
        <w:t>3. Integración con otros trabajos</w:t>
      </w:r>
    </w:p>
    <w:p>
      <w:r>
        <w:t>Este kit está pensado para encajar con:</w:t>
      </w:r>
    </w:p>
    <w:p>
      <w:pPr>
        <w:pStyle w:val="ListBullet"/>
        <w:keepLines w:val="1"/>
        <w:keepNext w:val="1"/>
        <w:widowControl w:val="1"/>
      </w:pPr>
      <w:r>
        <w:t xml:space="preserve">Estrategias nacionales de ciberseguridad y políticas sectoriales. [web:13][web:9]  </w:t>
      </w:r>
    </w:p>
    <w:p>
      <w:pPr>
        <w:pStyle w:val="ListBullet"/>
        <w:keepLines w:val="1"/>
        <w:keepNext w:val="1"/>
        <w:widowControl w:val="1"/>
      </w:pPr>
      <w:r>
        <w:t xml:space="preserve">Informes europeos (ENISA Threat Landscape, documentos sobre taxonomías y estándares). [web:22][web:14]  </w:t>
      </w:r>
    </w:p>
    <w:p>
      <w:pPr>
        <w:pStyle w:val="ListBullet"/>
        <w:keepLines w:val="1"/>
        <w:widowControl w:val="1"/>
      </w:pPr>
      <w:r>
        <w:t xml:space="preserve">Documentación técnica internacional sobre CWE, CVE, CVSS, KEV y MIHW. [web:22][web:28][web:2]  </w:t>
      </w:r>
    </w:p>
    <w:p>
      <w:r>
        <w:t>La intención es que los indicadores puedan compararse (al menos conceptualmente) con los que se utilizan en otros países y organismos internacionales.</w:t>
      </w:r>
    </w:p>
    <w:p>
      <w:pPr>
        <w:pStyle w:val="Heading2"/>
        <w:keepNext/>
        <w:keepLines/>
      </w:pPr>
      <w:r>
        <w:rPr>
          <w:color w:val="0066CC"/>
        </w:rPr>
        <w:t>4. Personalización y mantenimiento</w:t>
      </w:r>
    </w:p>
    <w:p>
      <w:pPr>
        <w:pStyle w:val="ListBullet"/>
        <w:keepLines w:val="1"/>
        <w:keepNext w:val="1"/>
        <w:widowControl w:val="1"/>
      </w:pPr>
      <w:r>
        <w:t xml:space="preserve">Personalización: se anima a adaptar metas, preguntas y métricas a las peculiaridades de cada país o sector, manteniendo en lo posible la compatibilidad conceptual.  </w:t>
      </w:r>
    </w:p>
    <w:p>
      <w:pPr>
        <w:pStyle w:val="ListBullet"/>
        <w:keepLines w:val="1"/>
        <w:widowControl w:val="1"/>
      </w:pPr>
      <w:r>
        <w:t xml:space="preserve">Mantenimiento: CWE, CVE, CVSS, KEV y las estrategias de ciberseguridad evolucionan; el kit debe revisarse, como mínimo, al ritmo de los informes anuales de MITRE y ENISA. [web:28][web:9][web:14]  </w:t>
      </w:r>
    </w:p>
    <w:p>
      <w:pPr>
        <w:pStyle w:val="Heading2"/>
        <w:keepNext/>
        <w:keepLines/>
      </w:pPr>
      <w:r>
        <w:rPr>
          <w:color w:val="0066CC"/>
        </w:rPr>
        <w:t>5. Licencia de uso intelectual y estilo</w:t>
      </w:r>
    </w:p>
    <w:p>
      <w:r>
        <w:t>El contenido puede reutilizarse y modificarse libremente en contextos de política pública, investigación y práctica profesional, siempre que se cite la fuente y no se presente como estándar oficial sin el proceso correspondiente.</w:t>
      </w:r>
    </w:p>
    <w:p>
      <w:r>
        <w:t>La ironía en la redacción es opcional, pero ayuda a recordar que las métricas no son un fin en sí mismas: son instrumentos para mejorar decisiones. Las decisiones seguirán siendo humanas, con toda su gloriosa imperfección; al menos, ahora, tendrán algunos números dignos de respeto.</w:t>
      </w:r>
    </w:p>
    <w:p>
      <w:pPr>
        <w:pStyle w:val="Heading2"/>
        <w:keepNext/>
        <w:keepLines/>
      </w:pPr>
      <w:r>
        <w:rPr>
          <w:color w:val="0066CC"/>
        </w:rPr>
        <w:t>6. Próximos pasos sugeridos</w:t>
      </w:r>
    </w:p>
    <w:p>
      <w:pPr>
        <w:pStyle w:val="ListBullet"/>
        <w:keepLines w:val="1"/>
        <w:keepNext w:val="1"/>
        <w:widowControl w:val="1"/>
      </w:pPr>
      <w:r>
        <w:t xml:space="preserve">Probar el kit en un piloto sectorial (por ejemplo, sanidad o administración pública).  </w:t>
      </w:r>
    </w:p>
    <w:p>
      <w:pPr>
        <w:pStyle w:val="ListBullet"/>
        <w:keepLines w:val="1"/>
        <w:keepNext w:val="1"/>
        <w:widowControl w:val="1"/>
      </w:pPr>
      <w:r>
        <w:t xml:space="preserve">Ajustar metas, preguntas y métricas en función de la experiencia y de las dificultades prácticas de obtención de datos.  </w:t>
      </w:r>
    </w:p>
    <w:p>
      <w:pPr>
        <w:pStyle w:val="ListBullet"/>
        <w:keepLines w:val="1"/>
        <w:widowControl w:val="1"/>
      </w:pPr>
      <w:r>
        <w:t>Integrar progresivamente los indicadores seleccionados en los ciclos de planificación y evaluación de políticas de ciberseguridad.</w:t>
      </w:r>
    </w:p>
    <w:p>
      <w:r>
        <w:t>Si en algún momento la sensación es de ligera incomodidad al ver los resultados, el kit habrá cumplido su función: la complacencia rara vez ha sido buena compañera de la ciberseguridad.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