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para Excel – Cálculo de IGM (Indicador Global de Madurez) y ROI de SOAR</w:t>
      </w:r>
    </w:p>
    <w:p>
      <w:pPr>
        <w:pStyle w:val="Heading2"/>
        <w:keepNext/>
        <w:keepLines/>
      </w:pPr>
      <w:r>
        <w:rPr>
          <w:color w:val="0066CC"/>
        </w:rPr>
        <w:t>1. Estructura de hojas</w:t>
      </w:r>
    </w:p>
    <w:p>
      <w:r>
        <w:t>Se recomiendan al menos 3 hojas:</w:t>
      </w:r>
    </w:p>
    <w:p>
      <w:pPr>
        <w:pStyle w:val="ListNumber"/>
        <w:keepLines w:val="1"/>
        <w:keepNext w:val="1"/>
        <w:widowControl w:val="1"/>
      </w:pPr>
      <w:r>
        <w:t xml:space="preserve">RESUMEN – Resultados agregados (IGM, ROI estimado, semáforos).  </w:t>
      </w:r>
    </w:p>
    <w:p>
      <w:pPr>
        <w:pStyle w:val="ListNumber"/>
        <w:keepLines w:val="1"/>
        <w:keepNext w:val="1"/>
        <w:widowControl w:val="1"/>
      </w:pPr>
      <w:r>
        <w:t xml:space="preserve">DATOS_ENCUESTA – Registro de respuestas por organización.  </w:t>
      </w:r>
    </w:p>
    <w:p>
      <w:pPr>
        <w:pStyle w:val="ListNumber"/>
        <w:keepLines w:val="1"/>
        <w:widowControl w:val="1"/>
      </w:pPr>
      <w:r>
        <w:t>CALCULOS – Cálculo de puntuaciones por eje e indicadores derivativos.</w:t>
      </w:r>
    </w:p>
    <w:p>
      <w:pPr>
        <w:pStyle w:val="Heading2"/>
        <w:keepNext/>
        <w:keepLines/>
      </w:pPr>
      <w:r>
        <w:rPr>
          <w:color w:val="0066CC"/>
        </w:rPr>
        <w:t>2. Hoja DATOS_ENCUESTA</w:t>
      </w:r>
    </w:p>
    <w:p>
      <w:r>
        <w:t>Columnas sugeridas (cada fila = una organización):</w:t>
      </w:r>
    </w:p>
    <w:p>
      <w:pPr>
        <w:pStyle w:val="ListBullet"/>
        <w:keepLines w:val="1"/>
        <w:keepNext w:val="1"/>
        <w:widowControl w:val="1"/>
      </w:pPr>
      <w:r>
        <w:t>ID_ORG</w:t>
      </w:r>
    </w:p>
    <w:p>
      <w:pPr>
        <w:pStyle w:val="ListBullet"/>
        <w:keepLines w:val="1"/>
        <w:keepNext w:val="1"/>
        <w:widowControl w:val="1"/>
      </w:pPr>
      <w:r>
        <w:t>Sector</w:t>
      </w:r>
    </w:p>
    <w:p>
      <w:pPr>
        <w:pStyle w:val="ListBullet"/>
        <w:keepLines w:val="1"/>
        <w:keepNext w:val="1"/>
        <w:widowControl w:val="1"/>
      </w:pPr>
      <w:r>
        <w:t>Tamaño</w:t>
      </w:r>
    </w:p>
    <w:p>
      <w:pPr>
        <w:pStyle w:val="ListBullet"/>
        <w:keepLines w:val="1"/>
        <w:keepNext w:val="1"/>
        <w:widowControl w:val="1"/>
      </w:pPr>
      <w:r>
        <w:t>Tipo_Org (público/privado, NIS2/ENS)</w:t>
      </w:r>
    </w:p>
    <w:p>
      <w:pPr>
        <w:pStyle w:val="ListBullet"/>
        <w:keepLines w:val="1"/>
        <w:keepNext w:val="1"/>
        <w:widowControl w:val="1"/>
      </w:pPr>
      <w:r>
        <w:t>P5_Estrategia_SOAR … P40_IA</w:t>
      </w:r>
    </w:p>
    <w:p>
      <w:pPr>
        <w:pStyle w:val="ListBullet"/>
        <w:keepLines w:val="1"/>
        <w:widowControl w:val="1"/>
      </w:pPr>
      <w:r>
        <w:t>Campos codificados según las opciones de respuesta (por ejemplo, 1–5).</w:t>
      </w:r>
    </w:p>
    <w:p>
      <w:r>
        <w:t>Ejemplo de codificación:</w:t>
      </w:r>
    </w:p>
    <w:p>
      <w:pPr>
        <w:pStyle w:val="ListBullet"/>
        <w:keepLines w:val="1"/>
        <w:keepNext w:val="1"/>
        <w:widowControl w:val="1"/>
      </w:pPr>
      <w:r>
        <w:t xml:space="preserve">P37 (madurez)  </w:t>
      </w:r>
    </w:p>
    <w:p>
      <w:pPr>
        <w:pStyle w:val="ListBullet"/>
        <w:keepLines w:val="1"/>
        <w:keepNext w:val="1"/>
        <w:widowControl w:val="1"/>
      </w:pPr>
      <w:r>
        <w:t xml:space="preserve">Inicial → 1  </w:t>
      </w:r>
    </w:p>
    <w:p>
      <w:pPr>
        <w:pStyle w:val="ListBullet"/>
        <w:keepLines w:val="1"/>
        <w:keepNext w:val="1"/>
        <w:widowControl w:val="1"/>
      </w:pPr>
      <w:r>
        <w:t xml:space="preserve">Básico → 2  </w:t>
      </w:r>
    </w:p>
    <w:p>
      <w:pPr>
        <w:pStyle w:val="ListBullet"/>
        <w:keepLines w:val="1"/>
        <w:keepNext w:val="1"/>
        <w:widowControl w:val="1"/>
      </w:pPr>
      <w:r>
        <w:t xml:space="preserve">Intermedio → 3  </w:t>
      </w:r>
    </w:p>
    <w:p>
      <w:pPr>
        <w:pStyle w:val="ListBullet"/>
        <w:keepLines w:val="1"/>
        <w:keepNext w:val="1"/>
        <w:widowControl w:val="1"/>
      </w:pPr>
      <w:r>
        <w:t xml:space="preserve">Avanzado → 4  </w:t>
      </w:r>
    </w:p>
    <w:p>
      <w:pPr>
        <w:pStyle w:val="ListBullet"/>
        <w:keepLines w:val="1"/>
        <w:keepNext w:val="1"/>
        <w:widowControl w:val="1"/>
      </w:pPr>
      <w:r>
        <w:br/>
        <w:t>Líder → 5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P18 (impacto MTTD/MTTR)  </w:t>
        <w:br/>
      </w:r>
    </w:p>
    <w:p>
      <w:pPr>
        <w:pStyle w:val="ListBullet"/>
        <w:keepLines w:val="1"/>
        <w:keepNext w:val="1"/>
        <w:widowControl w:val="1"/>
      </w:pPr>
      <w:r>
        <w:t xml:space="preserve">Empeoramiento → 1  </w:t>
      </w:r>
    </w:p>
    <w:p>
      <w:pPr>
        <w:pStyle w:val="ListBullet"/>
        <w:keepLines w:val="1"/>
        <w:keepNext w:val="1"/>
        <w:widowControl w:val="1"/>
      </w:pPr>
      <w:r>
        <w:t xml:space="preserve">Mejora &lt; 10 % → 2  </w:t>
      </w:r>
    </w:p>
    <w:p>
      <w:pPr>
        <w:pStyle w:val="ListBullet"/>
        <w:keepLines w:val="1"/>
        <w:keepNext w:val="1"/>
        <w:widowControl w:val="1"/>
      </w:pPr>
      <w:r>
        <w:t xml:space="preserve">Mejora 10–30 % → 3  </w:t>
      </w:r>
    </w:p>
    <w:p>
      <w:pPr>
        <w:pStyle w:val="ListBullet"/>
        <w:keepLines w:val="1"/>
        <w:keepNext w:val="1"/>
        <w:widowControl w:val="1"/>
      </w:pPr>
      <w:r>
        <w:t xml:space="preserve">Mejora 30–50 % → 4  </w:t>
      </w:r>
    </w:p>
    <w:p>
      <w:pPr>
        <w:pStyle w:val="ListBullet"/>
        <w:keepLines w:val="1"/>
        <w:widowControl w:val="1"/>
      </w:pPr>
      <w:r>
        <w:t>Mejora &gt; 50 % → 5</w:t>
      </w:r>
    </w:p>
    <w:p>
      <w:r>
        <w:t>Líder → 5</w:t>
      </w:r>
    </w:p>
    <w:p>
      <w:r>
        <w:t xml:space="preserve">P18 (impacto MTTD/MTTR)  </w:t>
      </w:r>
    </w:p>
    <w:p>
      <w:pPr>
        <w:pStyle w:val="Heading2"/>
        <w:keepNext/>
        <w:keepLines/>
      </w:pPr>
      <w:r>
        <w:rPr>
          <w:color w:val="0066CC"/>
        </w:rPr>
        <w:t>3. Hoja CALCULOS</w:t>
      </w:r>
    </w:p>
    <w:p>
      <w:pPr>
        <w:pStyle w:val="Heading3"/>
        <w:keepNext/>
        <w:keepLines/>
      </w:pPr>
      <w:r>
        <w:t>3.1. Ejes de madurez (0–100)</w:t>
      </w:r>
    </w:p>
    <w:p>
      <w:r>
        <w:t>Defina columnas para cada eje:</w:t>
      </w:r>
    </w:p>
    <w:p>
      <w:pPr>
        <w:pStyle w:val="ListBullet"/>
        <w:keepLines w:val="1"/>
        <w:keepNext w:val="1"/>
        <w:widowControl w:val="1"/>
      </w:pPr>
      <w:r>
        <w:t xml:space="preserve">Gobierno_Estrategia </w:t>
      </w:r>
    </w:p>
    <w:p>
      <w:pPr>
        <w:pStyle w:val="ListBullet"/>
        <w:keepLines w:val="1"/>
        <w:keepNext w:val="1"/>
        <w:widowControl w:val="1"/>
      </w:pPr>
      <w:r>
        <w:t xml:space="preserve">Operacion_Cobertura </w:t>
      </w:r>
    </w:p>
    <w:p>
      <w:pPr>
        <w:pStyle w:val="ListBullet"/>
        <w:keepLines w:val="1"/>
        <w:keepNext w:val="1"/>
        <w:widowControl w:val="1"/>
      </w:pPr>
      <w:r>
        <w:t xml:space="preserve">Metricas_Calidad </w:t>
      </w:r>
    </w:p>
    <w:p>
      <w:pPr>
        <w:pStyle w:val="ListBullet"/>
        <w:keepLines w:val="1"/>
        <w:keepNext w:val="1"/>
        <w:widowControl w:val="1"/>
      </w:pPr>
      <w:r>
        <w:t xml:space="preserve">Regulacion_Reporting </w:t>
      </w:r>
    </w:p>
    <w:p>
      <w:pPr>
        <w:pStyle w:val="ListBullet"/>
        <w:keepLines w:val="1"/>
        <w:keepNext w:val="1"/>
        <w:widowControl w:val="1"/>
      </w:pPr>
      <w:r>
        <w:t xml:space="preserve">Impacto_ROI </w:t>
      </w:r>
    </w:p>
    <w:p>
      <w:pPr>
        <w:pStyle w:val="ListBullet"/>
        <w:keepLines w:val="1"/>
        <w:widowControl w:val="1"/>
      </w:pPr>
      <w:r>
        <w:t>Futuro_Innovacion</w:t>
      </w:r>
    </w:p>
    <w:p>
      <w:r>
        <w:t>Ejemplo de construcción (pseudo‑fórmula):</w:t>
      </w:r>
    </w:p>
    <w:p>
      <w:pPr>
        <w:pStyle w:val="ListBullet"/>
        <w:keepLines w:val="1"/>
        <w:keepNext w:val="1"/>
        <w:widowControl w:val="1"/>
      </w:pPr>
      <w:r>
        <w:t>Gobierno_Estrategia = PROMEDIO( P5, P7, P8 ) normalizado a 0–100.</w:t>
        <w:br/>
        <w:t xml:space="preserve">  Si cada pregunta está en escala 1–5:  </w:t>
      </w:r>
    </w:p>
    <w:p>
      <w:pPr>
        <w:pStyle w:val="ListBullet"/>
        <w:keepLines w:val="1"/>
        <w:keepNext w:val="1"/>
        <w:widowControl w:val="1"/>
      </w:pPr>
      <w:r>
        <w:br/>
        <w:t>En Excel: =(PROMEDIO(P5:P8)-1)/4*100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Operacion_Cobertura = PROMEDIO( P9, P10, P11, P26, P27, P28 ) normalizado.  </w:t>
        <w:br/>
      </w:r>
    </w:p>
    <w:p>
      <w:pPr>
        <w:pStyle w:val="ListBullet"/>
        <w:keepLines w:val="1"/>
        <w:keepNext w:val="1"/>
        <w:widowControl w:val="1"/>
      </w:pPr>
      <w:r>
        <w:t xml:space="preserve">Metricas_Calidad = PROMEDIO( P14, P15, P16, P17, P19, P20, P21, P22, P23, P24 ).  </w:t>
      </w:r>
    </w:p>
    <w:p>
      <w:pPr>
        <w:pStyle w:val="ListBullet"/>
        <w:keepLines w:val="1"/>
        <w:keepNext w:val="1"/>
        <w:widowControl w:val="1"/>
      </w:pPr>
      <w:r>
        <w:t xml:space="preserve">Regulacion_Reporting = PROMEDIO( P29, P30, P31, P32 ).  </w:t>
      </w:r>
    </w:p>
    <w:p>
      <w:pPr>
        <w:pStyle w:val="ListBullet"/>
        <w:keepLines w:val="1"/>
        <w:keepNext w:val="1"/>
        <w:widowControl w:val="1"/>
      </w:pPr>
      <w:r>
        <w:t xml:space="preserve">Impacto_ROI = PROMEDIO( P33, P34, P35, P36, P18 ).  </w:t>
      </w:r>
    </w:p>
    <w:p>
      <w:pPr>
        <w:pStyle w:val="ListBullet"/>
        <w:keepLines w:val="1"/>
        <w:widowControl w:val="1"/>
      </w:pPr>
      <w:r>
        <w:t>Futuro_Innovacion = PROMEDIO( P37, P38, P39, P40 ).</w:t>
      </w:r>
    </w:p>
    <w:p>
      <w:r>
        <w:t xml:space="preserve">En Excel: </w:t>
      </w:r>
      <w:r>
        <w:rPr>
          <w:rFonts w:ascii="Courier New" w:hAnsi="Courier New"/>
          <w:sz w:val="18"/>
        </w:rPr>
        <w:t>=(PROMEDIO(P5:P8)-1)/4*100</w:t>
      </w:r>
    </w:p>
    <w:p>
      <w:r>
        <w:rPr>
          <w:rFonts w:ascii="Courier New" w:hAnsi="Courier New"/>
          <w:sz w:val="18"/>
        </w:rPr>
        <w:t>Operacion_Cobertura</w:t>
      </w:r>
      <w:r>
        <w:t xml:space="preserve"> = PROMEDIO( P9, P10, P11, P26, P27, P28 ) normalizado.  </w:t>
      </w:r>
    </w:p>
    <w:p>
      <w:r>
        <w:rPr>
          <w:b/>
        </w:rPr>
        <w:t>Nota:</w:t>
      </w:r>
      <w:r>
        <w:t xml:space="preserve"> Ajuste el rango de columnas a las que haya codificado como numéricas.</w:t>
      </w:r>
    </w:p>
    <w:p>
      <w:pPr>
        <w:pStyle w:val="Heading3"/>
        <w:keepNext/>
        <w:keepLines/>
      </w:pPr>
      <w:r>
        <w:t>3.2. Cálculo del IGM</w:t>
      </w:r>
    </w:p>
    <w:p>
      <w:r>
        <w:t xml:space="preserve">En columna </w:t>
      </w:r>
      <w:r>
        <w:rPr>
          <w:rFonts w:ascii="Courier New" w:hAnsi="Courier New"/>
          <w:sz w:val="18"/>
        </w:rPr>
        <w:t>IGM</w:t>
      </w:r>
      <w:r>
        <w:t>:</w:t>
      </w:r>
    </w:p>
    <w:p>
      <w:pPr>
        <w:pStyle w:val="ListBullet"/>
        <w:keepLines w:val="1"/>
        <w:widowControl w:val="1"/>
      </w:pPr>
      <w:r>
        <w:t xml:space="preserve">Fórmula simple de ponderación uniforme:  </w:t>
      </w:r>
    </w:p>
    <w:p>
      <w:r>
        <w:rPr>
          <w:rFonts w:ascii="Courier New" w:hAnsi="Courier New"/>
          <w:sz w:val="18"/>
        </w:rPr>
        <w:t>IGM = PROMEDIO(Gobierno_Estrategia; Operacion_Cobertura; Metricas_Calidad; Regulacion_Reporting; Impacto_ROI; Futuro_Innovacion)</w:t>
      </w:r>
    </w:p>
    <w:p>
      <w:r>
        <w:t>Si se desea ponderar más la operación y las métricas (por ejemplo, 30 % cada una):</w:t>
      </w:r>
    </w:p>
    <w:p>
      <w:pPr>
        <w:pStyle w:val="ListBullet"/>
        <w:keepLines w:val="1"/>
        <w:widowControl w:val="1"/>
      </w:pPr>
      <w:r>
        <w:t>IGM = 0,15*Gobierno_Estrategia + 0,30*Operacion_Cobertura + 0,30*Metricas_Calidad + 0,10*Regulacion_Reporting + 0,10*Impacto_ROI + 0,05*Futuro_Innovacion</w:t>
      </w:r>
    </w:p>
    <w:p>
      <w:pPr>
        <w:pStyle w:val="Heading3"/>
        <w:keepNext/>
        <w:keepLines/>
      </w:pPr>
      <w:r>
        <w:t>3.3. Categorías de madurez</w:t>
      </w:r>
    </w:p>
    <w:p>
      <w:r>
        <w:t>En columnas auxiliares:</w:t>
      </w:r>
    </w:p>
    <w:p>
      <w:pPr>
        <w:pStyle w:val="ListBullet"/>
        <w:keepLines w:val="1"/>
        <w:keepNext w:val="1"/>
        <w:widowControl w:val="1"/>
      </w:pPr>
      <w:r>
        <w:br/>
        <w:t>Categoria_IGM (texto):</w:t>
        <w:br/>
      </w:r>
    </w:p>
    <w:p>
      <w:pPr>
        <w:pStyle w:val="ListBullet"/>
        <w:keepLines w:val="1"/>
        <w:widowControl w:val="1"/>
      </w:pPr>
      <w:r>
        <w:br/>
        <w:t>=SI(IGM&lt;20;"Inicial";SI(IGM&lt;40;"Básica";SI(IGM&lt;60;"Intermedia";SI(IGM&lt;80;"Avanzada";"Líder"))))</w:t>
        <w:br/>
      </w:r>
    </w:p>
    <w:p>
      <w:r>
        <w:rPr>
          <w:rFonts w:ascii="Courier New" w:hAnsi="Courier New"/>
          <w:sz w:val="18"/>
        </w:rPr>
        <w:t>Categoria_IGM</w:t>
      </w:r>
      <w:r>
        <w:t xml:space="preserve"> (texto):</w:t>
      </w:r>
    </w:p>
    <w:p>
      <w:r>
        <w:rPr>
          <w:rFonts w:ascii="Courier New" w:hAnsi="Courier New"/>
          <w:sz w:val="18"/>
        </w:rPr>
        <w:t>=SI(IGM&lt;20;"Inicial";SI(IGM&lt;40;"Básica";SI(IGM&lt;60;"Intermedia";SI(IGM&lt;80;"Avanzada";"Líder"))))</w:t>
      </w:r>
    </w:p>
    <w:p>
      <w:pPr>
        <w:pStyle w:val="Heading3"/>
        <w:keepNext/>
        <w:keepLines/>
      </w:pPr>
      <w:r>
        <w:t>3.4. Cálculo simple de ROI de SOAR</w:t>
      </w:r>
    </w:p>
    <w:p>
      <w:r>
        <w:t xml:space="preserve">Defina columnas adicionales en </w:t>
      </w:r>
      <w:r>
        <w:rPr>
          <w:rFonts w:ascii="Courier New" w:hAnsi="Courier New"/>
          <w:sz w:val="18"/>
        </w:rPr>
        <w:t>DATOS_ENCUESTA</w:t>
      </w:r>
      <w:r>
        <w:t xml:space="preserve"> (o </w:t>
      </w:r>
      <w:r>
        <w:rPr>
          <w:rFonts w:ascii="Courier New" w:hAnsi="Courier New"/>
          <w:sz w:val="18"/>
        </w:rPr>
        <w:t>CALCULOS</w:t>
      </w:r>
      <w:r>
        <w:t>):</w:t>
      </w:r>
    </w:p>
    <w:p>
      <w:pPr>
        <w:pStyle w:val="ListBullet"/>
        <w:keepLines w:val="1"/>
        <w:keepNext w:val="1"/>
        <w:widowControl w:val="1"/>
      </w:pPr>
      <w:r>
        <w:t xml:space="preserve">Coste_Incidentes_Pre_SOAR (estimado anual).  </w:t>
      </w:r>
    </w:p>
    <w:p>
      <w:pPr>
        <w:pStyle w:val="ListBullet"/>
        <w:keepLines w:val="1"/>
        <w:keepNext w:val="1"/>
        <w:widowControl w:val="1"/>
      </w:pPr>
      <w:r>
        <w:t xml:space="preserve">Coste_Incidentes_Post_SOAR (estimado anual actual).  </w:t>
      </w:r>
    </w:p>
    <w:p>
      <w:pPr>
        <w:pStyle w:val="ListBullet"/>
        <w:keepLines w:val="1"/>
        <w:widowControl w:val="1"/>
      </w:pPr>
      <w:r>
        <w:t xml:space="preserve">Inversion_SOAR (costes de licencias, implantación, operación anual).  </w:t>
      </w:r>
    </w:p>
    <w:p>
      <w:r>
        <w:t xml:space="preserve">En </w:t>
      </w:r>
      <w:r>
        <w:rPr>
          <w:rFonts w:ascii="Courier New" w:hAnsi="Courier New"/>
          <w:sz w:val="18"/>
        </w:rPr>
        <w:t>CALCULOS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Ahorro_Anual = Coste_Incidentes_Pre_SOAR - Coste_Incidentes_Post_SOAR </w:t>
      </w:r>
    </w:p>
    <w:p>
      <w:pPr>
        <w:pStyle w:val="ListBullet"/>
        <w:keepLines w:val="1"/>
        <w:widowControl w:val="1"/>
      </w:pPr>
      <w:r>
        <w:t>ROI_SOAR = Ahorro_Anual / Inversion_SOAR</w:t>
      </w:r>
    </w:p>
    <w:p>
      <w:r>
        <w:t>Para facilitar interpretación:</w:t>
      </w:r>
    </w:p>
    <w:p>
      <w:pPr>
        <w:pStyle w:val="ListBullet"/>
        <w:keepLines w:val="1"/>
        <w:widowControl w:val="1"/>
      </w:pPr>
      <w:r>
        <w:t>ROI_SOAR_% = ROI_SOAR * 100</w:t>
      </w:r>
    </w:p>
    <w:p>
      <w:r>
        <w:t>Opcionalmente, puede utilizar P18 (impacto en MTTD/MTTR) como factor para estimar el ahorro cuando no haya datos económicos completos:</w:t>
      </w:r>
    </w:p>
    <w:p>
      <w:pPr>
        <w:pStyle w:val="ListBullet"/>
        <w:keepLines w:val="1"/>
        <w:widowControl w:val="1"/>
      </w:pPr>
      <w:r>
        <w:t>Coste_Incidentes_Post_SOAR ≈ Coste_Incidentes_Pre_SOAR * (1 - Mejora_Estimada)</w:t>
      </w:r>
    </w:p>
    <w:p>
      <w:r>
        <w:t xml:space="preserve">donde </w:t>
      </w:r>
      <w:r>
        <w:rPr>
          <w:rFonts w:ascii="Courier New" w:hAnsi="Courier New"/>
          <w:sz w:val="18"/>
        </w:rPr>
        <w:t>Mejora_Estimada</w:t>
      </w:r>
      <w:r>
        <w:t xml:space="preserve"> se derivaría de la codificación de P18 (por ejemplo, Mejora 30–50 % → 0,4).</w:t>
      </w:r>
    </w:p>
    <w:p>
      <w:pPr>
        <w:pStyle w:val="Heading2"/>
        <w:keepNext/>
        <w:keepLines/>
      </w:pPr>
      <w:r>
        <w:rPr>
          <w:color w:val="0066CC"/>
        </w:rPr>
        <w:t>4. Hoja RESUMEN</w:t>
      </w:r>
    </w:p>
    <w:p>
      <w:r>
        <w:t>Incluya:</w:t>
      </w:r>
    </w:p>
    <w:p>
      <w:pPr>
        <w:pStyle w:val="ListBullet"/>
        <w:keepLines w:val="1"/>
        <w:keepNext w:val="1"/>
        <w:widowControl w:val="1"/>
      </w:pPr>
      <w:r>
        <w:t xml:space="preserve">Gráficos de barras con distribución de IGM por sector.  </w:t>
      </w:r>
    </w:p>
    <w:p>
      <w:pPr>
        <w:pStyle w:val="ListBullet"/>
        <w:keepLines w:val="1"/>
        <w:keepNext w:val="1"/>
        <w:widowControl w:val="1"/>
      </w:pPr>
      <w:r>
        <w:t xml:space="preserve">Mapas de calor por eje (Gobierno, Operación, etc.).  </w:t>
      </w:r>
    </w:p>
    <w:p>
      <w:pPr>
        <w:pStyle w:val="ListBullet"/>
        <w:keepLines w:val="1"/>
        <w:keepNext w:val="1"/>
        <w:widowControl w:val="1"/>
      </w:pPr>
      <w:r>
        <w:t xml:space="preserve">Tabla con ROI medio estimado por sector / tamaño.  </w:t>
      </w:r>
    </w:p>
    <w:p>
      <w:pPr>
        <w:pStyle w:val="ListBullet"/>
        <w:keepLines w:val="1"/>
        <w:keepNext w:val="1"/>
        <w:widowControl w:val="1"/>
      </w:pPr>
      <w:r>
        <w:t xml:space="preserve">Indicadores clave:  </w:t>
      </w:r>
    </w:p>
    <w:p>
      <w:pPr>
        <w:pStyle w:val="ListBullet"/>
        <w:keepLines w:val="1"/>
        <w:keepNext w:val="1"/>
        <w:widowControl w:val="1"/>
      </w:pPr>
      <w:r>
        <w:t xml:space="preserve">% de organizaciones que miden MTTD/MTTR.  </w:t>
      </w:r>
    </w:p>
    <w:p>
      <w:pPr>
        <w:pStyle w:val="ListBullet"/>
        <w:keepLines w:val="1"/>
        <w:keepNext w:val="1"/>
        <w:widowControl w:val="1"/>
      </w:pPr>
      <w:r>
        <w:t xml:space="preserve">% con automatización superior al 50 % de alertas.  </w:t>
      </w:r>
    </w:p>
    <w:p>
      <w:pPr>
        <w:pStyle w:val="ListBullet"/>
        <w:keepLines w:val="1"/>
        <w:widowControl w:val="1"/>
      </w:pPr>
      <w:r>
        <w:t>% que calculan ROI formalmente.</w:t>
      </w:r>
    </w:p>
    <w:p>
      <w:r>
        <w:t>El diseño visual puede adaptarse a la identidad corporativa, pero conviene mantener semáforos (rojo/ámbar/verde) para rangos de IGM y ROI.</w:t>
      </w:r>
    </w:p>
    <w:p>
      <w:pPr>
        <w:pStyle w:val="Heading2"/>
        <w:keepNext/>
        <w:keepLines/>
      </w:pPr>
      <w:r>
        <w:rPr>
          <w:color w:val="0066CC"/>
        </w:rPr>
        <w:t>5. Personalización</w:t>
      </w:r>
    </w:p>
    <w:p>
      <w:r>
        <w:t>La plantilla puede ampliarse para:</w:t>
      </w:r>
    </w:p>
    <w:p>
      <w:pPr>
        <w:pStyle w:val="ListBullet"/>
        <w:keepLines w:val="1"/>
        <w:keepNext w:val="1"/>
        <w:widowControl w:val="1"/>
      </w:pPr>
      <w:r>
        <w:t xml:space="preserve">Incluir análisis por comunidad autónoma.  </w:t>
      </w:r>
    </w:p>
    <w:p>
      <w:pPr>
        <w:pStyle w:val="ListBullet"/>
        <w:keepLines w:val="1"/>
        <w:keepNext w:val="1"/>
        <w:widowControl w:val="1"/>
      </w:pPr>
      <w:r>
        <w:t xml:space="preserve">Incorporar parámetros de coste por incidente procedentes de estudios externos.  </w:t>
      </w:r>
    </w:p>
    <w:p>
      <w:pPr>
        <w:pStyle w:val="ListBullet"/>
        <w:keepLines w:val="1"/>
        <w:widowControl w:val="1"/>
      </w:pPr>
      <w:r>
        <w:t>Simular escenarios de inversión adicional en SOAR (análisis “what‑if”).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