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SOAR nacionales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 xml:space="preserve">Este documento integra la metodología </w:t>
      </w:r>
      <w:r>
        <w:rPr>
          <w:b/>
        </w:rPr>
        <w:t>GQM (Goal–Question–Metric)</w:t>
      </w:r>
      <w:r>
        <w:t xml:space="preserve"> con los criterios </w:t>
      </w:r>
      <w:r>
        <w:rPr>
          <w:b/>
        </w:rPr>
        <w:t>PRAGMATIC</w:t>
      </w:r>
      <w:r>
        <w:t xml:space="preserve"> para el diseño y evaluación de indicadores SOAR (Security Orchestration, Automation and Response) aplicables a un marco nacional, tomando como referencia el contexto español y las tendencias internacionales recientes en métricas de ciberseguridad, incidentes y automatización.[web:12][web:13][web:24]</w:t>
      </w:r>
    </w:p>
    <w:p>
      <w:r>
        <w:t xml:space="preserve">El objetivo es asegurar la trazabilidad desde los objetivos nacionales de ciberseguridad (reducción de tiempo e impacto de los incidentes, cumplimiento regulatorio, mejora de la resiliencia) hasta las métricas técnicas de SOC y SOAR, evaluando a la vez la calidad de cada métrica bajo los nueve criterios PRAGMATIC: </w:t>
      </w:r>
      <w:r>
        <w:rPr>
          <w:b/>
        </w:rPr>
        <w:t>Predictivo, Relevante, Accionable, Genuino, Significativo, Preciso, Oportuno, Independiente y Rentable</w:t>
      </w:r>
      <w:r>
        <w:t>.[web:22][web:26]</w:t>
      </w:r>
    </w:p>
    <w:p>
      <w:pPr>
        <w:pStyle w:val="Heading2"/>
        <w:keepNext/>
        <w:keepLines/>
      </w:pPr>
      <w:r>
        <w:rPr>
          <w:color w:val="0066CC"/>
        </w:rPr>
        <w:t>2. Resumen de objetivos nacionales (nivel G de GQM)</w:t>
      </w:r>
    </w:p>
    <w:p>
      <w:r>
        <w:t>A efectos de este marco, se consideran cuatro grandes objetivos nacionales (G1–G4), derivados de estrategias de ciberseguridad, NIS2, ENS y guías de ENISA/NIST:[web:39][web:22][web:24]</w:t>
      </w:r>
    </w:p>
    <w:p>
      <w:pPr>
        <w:pStyle w:val="ListBullet"/>
        <w:keepLines w:val="1"/>
        <w:keepNext w:val="1"/>
        <w:widowControl w:val="1"/>
      </w:pPr>
      <w:r>
        <w:t>G1. Reducir el tiempo de detección, análisis, contención y recuperación de incidentes a nivel nacional, especialmente en sectores esenciales y servicios digitales críticos.</w:t>
      </w:r>
    </w:p>
    <w:p>
      <w:pPr>
        <w:pStyle w:val="ListBullet"/>
        <w:keepLines w:val="1"/>
        <w:keepNext w:val="1"/>
        <w:widowControl w:val="1"/>
      </w:pPr>
      <w:r>
        <w:t>G2. Aumentar la cobertura y calidad de la automatización en procesos de detección y respuesta, de forma compatible con la seguridad operativa y regulatoria.</w:t>
      </w:r>
    </w:p>
    <w:p>
      <w:pPr>
        <w:pStyle w:val="ListBullet"/>
        <w:keepLines w:val="1"/>
        <w:keepNext w:val="1"/>
        <w:widowControl w:val="1"/>
      </w:pPr>
      <w:r>
        <w:t>G3. Mejorar el cumplimiento de obligaciones regulatorias y la calidad del reporting (NIS2, ENS, RGPD, regulaciones sectoriales) mediante procesos soportados por SOAR.</w:t>
      </w:r>
    </w:p>
    <w:p>
      <w:pPr>
        <w:pStyle w:val="ListBullet"/>
        <w:keepLines w:val="1"/>
        <w:widowControl w:val="1"/>
      </w:pPr>
      <w:r>
        <w:t>G4. Optimizar el impacto económico de la ciberseguridad, maximizando el valor (reducción de impacto y riesgo) por euro invertido en capacidades SOAR y SOC.</w:t>
      </w:r>
    </w:p>
    <w:p>
      <w:r>
        <w:t>Estos objetivos se concretan en preguntas (Q) que, a su vez, se operacionalizan en métricas (M) cuantitativas y cualitativas.[web:22]</w:t>
      </w:r>
    </w:p>
    <w:p>
      <w:pPr>
        <w:pStyle w:val="Heading2"/>
        <w:keepNext/>
        <w:keepLines/>
      </w:pPr>
      <w:r>
        <w:rPr>
          <w:color w:val="0066CC"/>
        </w:rPr>
        <w:t>3. GQM para indicadores de tiempo (MTTD, MTTC, MTTR, dwell time)</w:t>
      </w:r>
    </w:p>
    <w:p>
      <w:pPr>
        <w:pStyle w:val="Heading3"/>
        <w:keepNext/>
        <w:keepLines/>
      </w:pPr>
      <w:r>
        <w:t>3.1. Objetivo G1 – Tiempo de respuesta nacional</w:t>
      </w:r>
    </w:p>
    <w:p>
      <w:r>
        <w:rPr>
          <w:b/>
        </w:rPr>
        <w:t>G1:</w:t>
      </w:r>
      <w:r>
        <w:t xml:space="preserve"> Reducir de forma sostenida los tiempos de detección, análisis, contención y recuperación de incidentes significativos, mejorando la resiliencia nacional frente a amenazas (incluido ransomware y ataques a OT).[web:13][web:10][web:12]</w:t>
      </w:r>
    </w:p>
    <w:p>
      <w:pPr>
        <w:pStyle w:val="Heading4"/>
        <w:keepNext/>
        <w:keepLines/>
      </w:pPr>
      <w:r>
        <w:t>Preguntas (Q)</w:t>
      </w:r>
    </w:p>
    <w:p>
      <w:pPr>
        <w:pStyle w:val="ListBullet"/>
        <w:keepLines w:val="1"/>
        <w:keepNext w:val="1"/>
        <w:widowControl w:val="1"/>
      </w:pPr>
      <w:r>
        <w:t>Q1.1: ¿Con qué rapidez se detectan, analizan y contienen los incidentes críticos en las organizaciones nacionales y por sector NIS2?</w:t>
      </w:r>
    </w:p>
    <w:p>
      <w:pPr>
        <w:pStyle w:val="ListBullet"/>
        <w:keepLines w:val="1"/>
        <w:keepNext w:val="1"/>
        <w:widowControl w:val="1"/>
      </w:pPr>
      <w:r>
        <w:t>Q1.2: ¿En qué medida contribuye la automatización (SOAR) a reducir esos tiempos frente a una línea base previa?</w:t>
      </w:r>
    </w:p>
    <w:p>
      <w:pPr>
        <w:pStyle w:val="ListBullet"/>
        <w:keepLines w:val="1"/>
        <w:widowControl w:val="1"/>
      </w:pPr>
      <w:r>
        <w:t>Q1.3: ¿Cuál es el tiempo de permanencia medio del atacante (dwell time) en sectores críticos y cómo evoluciona?</w:t>
      </w:r>
    </w:p>
    <w:p>
      <w:pPr>
        <w:pStyle w:val="Heading4"/>
        <w:keepNext/>
        <w:keepLines/>
      </w:pPr>
      <w:r>
        <w:t>Métricas (M)</w:t>
      </w:r>
    </w:p>
    <w:p>
      <w:pPr>
        <w:pStyle w:val="ListBullet"/>
        <w:keepLines w:val="1"/>
        <w:keepNext w:val="1"/>
        <w:widowControl w:val="1"/>
      </w:pPr>
      <w:r>
        <w:t>M1.1 – MTTD nacional y sectorial (Mean Time to Detect): tiempo medio desde la ocurrencia o primera evidencia del incidente hasta su detección formal.[web:24][web:22]</w:t>
      </w:r>
    </w:p>
    <w:p>
      <w:pPr>
        <w:pStyle w:val="ListBullet"/>
        <w:keepLines w:val="1"/>
        <w:keepNext w:val="1"/>
        <w:widowControl w:val="1"/>
      </w:pPr>
      <w:r>
        <w:t>M1.2 – MTTC/MTTI nacional (Mean Time to Triage/Contain): tiempo medio desde la detección hasta la clasificación y contención inicial.[web:24]</w:t>
      </w:r>
    </w:p>
    <w:p>
      <w:pPr>
        <w:pStyle w:val="ListBullet"/>
        <w:keepLines w:val="1"/>
        <w:keepNext w:val="1"/>
        <w:widowControl w:val="1"/>
      </w:pPr>
      <w:r>
        <w:t>M1.3 – MTTR nacional (Mean Time to Respond/Restore): tiempo medio desde la detección hasta la recuperación de servicios a un estado aceptable.[web:24]</w:t>
      </w:r>
    </w:p>
    <w:p>
      <w:pPr>
        <w:pStyle w:val="ListBullet"/>
        <w:keepLines w:val="1"/>
        <w:keepNext w:val="1"/>
        <w:widowControl w:val="1"/>
      </w:pPr>
      <w:r>
        <w:t>M1.4 – Dwell time estimado en sectores críticos: tiempo medio entre el compromiso inicial y la expulsión del atacante, tomando referencias de incidentes OT y ransomware.[web:13][web:10]</w:t>
      </w:r>
    </w:p>
    <w:p>
      <w:pPr>
        <w:pStyle w:val="ListBullet"/>
        <w:keepLines w:val="1"/>
        <w:widowControl w:val="1"/>
      </w:pPr>
      <w:r>
        <w:t>M1.5 – % de reducción de MTTD/MTTR atribuida a proyectos SOAR: comparación de tiempos pre‑ y post‑automatización, por sector y tipo de incidente.[web:16][web:26]</w:t>
      </w:r>
    </w:p>
    <w:p>
      <w:pPr>
        <w:pStyle w:val="Heading2"/>
        <w:keepNext/>
        <w:keepLines/>
      </w:pPr>
      <w:r>
        <w:rPr>
          <w:color w:val="0066CC"/>
        </w:rPr>
        <w:t>4. GQM para cobertura y calidad de automatización</w:t>
      </w:r>
    </w:p>
    <w:p>
      <w:pPr>
        <w:pStyle w:val="Heading3"/>
        <w:keepNext/>
        <w:keepLines/>
      </w:pPr>
      <w:r>
        <w:t>4.1. Objetivo G2 – Cobertura de automatización</w:t>
      </w:r>
    </w:p>
    <w:p>
      <w:r>
        <w:rPr>
          <w:b/>
        </w:rPr>
        <w:t>G2:</w:t>
      </w:r>
      <w:r>
        <w:t xml:space="preserve"> Aumentar la proporción de procesos de detección y respuesta soportados por automatización y orquestación, manteniendo o mejorando la calidad y seguridad operativa.[web:16][web:22]</w:t>
      </w:r>
    </w:p>
    <w:p>
      <w:pPr>
        <w:pStyle w:val="Heading4"/>
        <w:keepNext/>
        <w:keepLines/>
      </w:pPr>
      <w:r>
        <w:t>Preguntas (Q)</w:t>
      </w:r>
    </w:p>
    <w:p>
      <w:pPr>
        <w:pStyle w:val="ListBullet"/>
        <w:keepLines w:val="1"/>
        <w:keepNext w:val="1"/>
        <w:widowControl w:val="1"/>
      </w:pPr>
      <w:r>
        <w:t>Q2.1: ¿Qué porcentaje del volumen de alertas e incidentes se procesa mediante flujos automatizados o semiautomatizados?</w:t>
      </w:r>
    </w:p>
    <w:p>
      <w:pPr>
        <w:pStyle w:val="ListBullet"/>
        <w:keepLines w:val="1"/>
        <w:keepNext w:val="1"/>
        <w:widowControl w:val="1"/>
      </w:pPr>
      <w:r>
        <w:t>Q2.2: ¿Qué proporción de los casos de uso más frecuentes cuenta con playbooks definidos y operativos?</w:t>
      </w:r>
    </w:p>
    <w:p>
      <w:pPr>
        <w:pStyle w:val="ListBullet"/>
        <w:keepLines w:val="1"/>
        <w:widowControl w:val="1"/>
      </w:pPr>
      <w:r>
        <w:t>Q2.3: ¿En qué medida los playbooks se ejecutan de forma exitosa, sin intervenciones manuales imprevistas ni rollbacks de emergencia?</w:t>
      </w:r>
    </w:p>
    <w:p>
      <w:pPr>
        <w:pStyle w:val="Heading4"/>
        <w:keepNext/>
        <w:keepLines/>
      </w:pPr>
      <w:r>
        <w:t>Métricas (M)</w:t>
      </w:r>
    </w:p>
    <w:p>
      <w:pPr>
        <w:pStyle w:val="ListBullet"/>
        <w:keepLines w:val="1"/>
        <w:keepNext w:val="1"/>
        <w:widowControl w:val="1"/>
      </w:pPr>
      <w:r>
        <w:t>M2.1 – % de alertas tratadas mediante flujos automatizados: proporción del total de alertas del SOC gestionadas por SOAR, total y por tipo de alerta.[web:16]</w:t>
      </w:r>
    </w:p>
    <w:p>
      <w:pPr>
        <w:pStyle w:val="ListBullet"/>
        <w:keepLines w:val="1"/>
        <w:keepNext w:val="1"/>
        <w:widowControl w:val="1"/>
      </w:pPr>
      <w:r>
        <w:t>M2.2 – % de incidentes gestionados con soporte de SOAR: proporción de incidentes categorizados donde interviene algún playbook.[web:22]</w:t>
      </w:r>
    </w:p>
    <w:p>
      <w:pPr>
        <w:pStyle w:val="ListBullet"/>
        <w:keepLines w:val="1"/>
        <w:keepNext w:val="1"/>
        <w:widowControl w:val="1"/>
      </w:pPr>
      <w:r>
        <w:t>M2.3 – Cobertura de casos de uso: porcentaje de los 10 tipos de incidentes más frecuentes que tienen al menos un playbook definido.[web:5]</w:t>
      </w:r>
    </w:p>
    <w:p>
      <w:pPr>
        <w:pStyle w:val="ListBullet"/>
        <w:keepLines w:val="1"/>
        <w:keepNext w:val="1"/>
        <w:widowControl w:val="1"/>
      </w:pPr>
      <w:r>
        <w:t>M2.4 – Tasa de éxito de playbooks: porcentaje de ejecuciones completadas según lo diseñado, sin errores ni interrupciones.[web:16]</w:t>
      </w:r>
    </w:p>
    <w:p>
      <w:pPr>
        <w:pStyle w:val="ListBullet"/>
        <w:keepLines w:val="1"/>
        <w:widowControl w:val="1"/>
      </w:pPr>
      <w:r>
        <w:t>M2.5 – Tasa de excepciones y rollbacks: porcentaje de ejecuciones que requieren intervención manual no planificada o reversión de acciones.[web:22]</w:t>
      </w:r>
    </w:p>
    <w:p>
      <w:pPr>
        <w:pStyle w:val="Heading2"/>
        <w:keepNext/>
        <w:keepLines/>
      </w:pPr>
      <w:r>
        <w:rPr>
          <w:color w:val="0066CC"/>
        </w:rPr>
        <w:t>5. GQM para cumplimiento y reporting</w:t>
      </w:r>
    </w:p>
    <w:p>
      <w:pPr>
        <w:pStyle w:val="Heading3"/>
        <w:keepNext/>
        <w:keepLines/>
      </w:pPr>
      <w:r>
        <w:t>5.1. Objetivo G3 – Cumplimiento regulatorio soportado por SOAR</w:t>
      </w:r>
    </w:p>
    <w:p>
      <w:r>
        <w:rPr>
          <w:b/>
        </w:rPr>
        <w:t>G3:</w:t>
      </w:r>
      <w:r>
        <w:t xml:space="preserve"> Mejorar la capacidad de las organizaciones para cumplir plazos y requisitos de notificación de incidentes y reporting, utilizando automatización donde sea razonable.[web:39][web:36]</w:t>
      </w:r>
    </w:p>
    <w:p>
      <w:pPr>
        <w:pStyle w:val="Heading4"/>
        <w:keepNext/>
        <w:keepLines/>
      </w:pPr>
      <w:r>
        <w:t>Preguntas (Q)</w:t>
      </w:r>
    </w:p>
    <w:p>
      <w:pPr>
        <w:pStyle w:val="ListBullet"/>
        <w:keepLines w:val="1"/>
        <w:keepNext w:val="1"/>
        <w:widowControl w:val="1"/>
      </w:pPr>
      <w:r>
        <w:t>Q3.1: ¿Qué proporción de organizaciones utiliza SOAR para preparar o automatizar notificaciones a CNCS, INCIBE y reguladores sectoriales?</w:t>
      </w:r>
    </w:p>
    <w:p>
      <w:pPr>
        <w:pStyle w:val="ListBullet"/>
        <w:keepLines w:val="1"/>
        <w:keepNext w:val="1"/>
        <w:widowControl w:val="1"/>
      </w:pPr>
      <w:r>
        <w:t>Q3.2: ¿Con qué rapidez se realizan las notificaciones iniciales requeridas por NIS2 y normativa sectorial?</w:t>
      </w:r>
    </w:p>
    <w:p>
      <w:pPr>
        <w:pStyle w:val="ListBullet"/>
        <w:keepLines w:val="1"/>
        <w:widowControl w:val="1"/>
      </w:pPr>
      <w:r>
        <w:t>Q3.3: ¿En qué medida los informes de incidente contienen la información mínima requerida, de forma estructurada y reutilizable?</w:t>
      </w:r>
    </w:p>
    <w:p>
      <w:pPr>
        <w:pStyle w:val="Heading4"/>
        <w:keepNext/>
        <w:keepLines/>
      </w:pPr>
      <w:r>
        <w:t>Métricas (M)</w:t>
      </w:r>
    </w:p>
    <w:p>
      <w:pPr>
        <w:pStyle w:val="ListBullet"/>
        <w:keepLines w:val="1"/>
        <w:keepNext w:val="1"/>
        <w:widowControl w:val="1"/>
      </w:pPr>
      <w:r>
        <w:t>M3.1 – % de organizaciones que usan SOAR para notificación/regulación: indicador de adopción funcional.[web:39]</w:t>
      </w:r>
    </w:p>
    <w:p>
      <w:pPr>
        <w:pStyle w:val="ListBullet"/>
        <w:keepLines w:val="1"/>
        <w:keepNext w:val="1"/>
        <w:widowControl w:val="1"/>
      </w:pPr>
      <w:r>
        <w:t>M3.2 – Tiempo medio hasta notificación inicial: desde detección hasta envío de notificación a la autoridad competente.[web:39][web:42]</w:t>
      </w:r>
    </w:p>
    <w:p>
      <w:pPr>
        <w:pStyle w:val="ListBullet"/>
        <w:keepLines w:val="1"/>
        <w:keepNext w:val="1"/>
        <w:widowControl w:val="1"/>
      </w:pPr>
      <w:r>
        <w:t>M3.3 – % de notificaciones dentro del plazo regulatorio (p. ej. 24 h NIS2): cumplimiento temporal.[web:39]</w:t>
      </w:r>
    </w:p>
    <w:p>
      <w:pPr>
        <w:pStyle w:val="ListBullet"/>
        <w:keepLines w:val="1"/>
        <w:widowControl w:val="1"/>
      </w:pPr>
      <w:r>
        <w:t>M3.4 – Grado de estructuración de informes de incidente: presencia de plantillas normalizadas y campos obligatorios.[web:22]</w:t>
      </w:r>
    </w:p>
    <w:p>
      <w:pPr>
        <w:pStyle w:val="Heading2"/>
        <w:keepNext/>
        <w:keepLines/>
      </w:pPr>
      <w:r>
        <w:rPr>
          <w:color w:val="0066CC"/>
        </w:rPr>
        <w:t>6. GQM para impacto económico y ROI</w:t>
      </w:r>
    </w:p>
    <w:p>
      <w:pPr>
        <w:pStyle w:val="Heading3"/>
        <w:keepNext/>
        <w:keepLines/>
      </w:pPr>
      <w:r>
        <w:t>6.1. Objetivo G4 – Impacto y coste</w:t>
      </w:r>
    </w:p>
    <w:p>
      <w:r>
        <w:rPr>
          <w:b/>
        </w:rPr>
        <w:t>G4:</w:t>
      </w:r>
      <w:r>
        <w:t xml:space="preserve"> Optimizar la relación entre coste de incidentes, inversión en SOAR y beneficio (reducción de impacto), mejorando la eficiencia global del ecosistema de ciberseguridad.[web:26][web:28]</w:t>
      </w:r>
    </w:p>
    <w:p>
      <w:pPr>
        <w:pStyle w:val="Heading4"/>
        <w:keepNext/>
        <w:keepLines/>
      </w:pPr>
      <w:r>
        <w:t>Preguntas (Q)</w:t>
      </w:r>
    </w:p>
    <w:p>
      <w:pPr>
        <w:pStyle w:val="ListBullet"/>
        <w:keepLines w:val="1"/>
        <w:keepNext w:val="1"/>
        <w:widowControl w:val="1"/>
      </w:pPr>
      <w:r>
        <w:t>Q4.1: ¿En qué medida se estiman y registran los costes de los incidentes a nivel organizativo y sectorial?</w:t>
      </w:r>
    </w:p>
    <w:p>
      <w:pPr>
        <w:pStyle w:val="ListBullet"/>
        <w:keepLines w:val="1"/>
        <w:keepNext w:val="1"/>
        <w:widowControl w:val="1"/>
      </w:pPr>
      <w:r>
        <w:t>Q4.2: ¿Cómo evolucionan estos costes en función de la madurez SOAR (cobertura, tiempos, calidad)?</w:t>
      </w:r>
    </w:p>
    <w:p>
      <w:pPr>
        <w:pStyle w:val="ListBullet"/>
        <w:keepLines w:val="1"/>
        <w:widowControl w:val="1"/>
      </w:pPr>
      <w:r>
        <w:t>Q4.3: ¿Qué retorno se observa en proyectos de automatización concretos, comparando inversión y ahorro?</w:t>
      </w:r>
    </w:p>
    <w:p>
      <w:pPr>
        <w:pStyle w:val="Heading4"/>
        <w:keepNext/>
        <w:keepLines/>
      </w:pPr>
      <w:r>
        <w:t>Métricas (M)</w:t>
      </w:r>
    </w:p>
    <w:p>
      <w:pPr>
        <w:pStyle w:val="ListBullet"/>
        <w:keepLines w:val="1"/>
        <w:keepNext w:val="1"/>
        <w:widowControl w:val="1"/>
      </w:pPr>
      <w:r>
        <w:t>M4.1 – % de organizaciones que estiman coste de incidentes: existencia de cultura de medición económica.[web:26]</w:t>
      </w:r>
    </w:p>
    <w:p>
      <w:pPr>
        <w:pStyle w:val="ListBullet"/>
        <w:keepLines w:val="1"/>
        <w:keepNext w:val="1"/>
        <w:widowControl w:val="1"/>
      </w:pPr>
      <w:r>
        <w:t>M4.2 – Coste medio anual de incidentes por organización / sector: en euros, agregados y segmentados.[web:26]</w:t>
      </w:r>
    </w:p>
    <w:p>
      <w:pPr>
        <w:pStyle w:val="ListBullet"/>
        <w:keepLines w:val="1"/>
        <w:keepNext w:val="1"/>
        <w:widowControl w:val="1"/>
      </w:pPr>
      <w:r>
        <w:t>M4.3 – Inversión anual en capacidades SOAR: licencias, servicios, operación.[web:26]</w:t>
      </w:r>
    </w:p>
    <w:p>
      <w:pPr>
        <w:pStyle w:val="ListBullet"/>
        <w:keepLines w:val="1"/>
        <w:keepNext w:val="1"/>
        <w:widowControl w:val="1"/>
      </w:pPr>
      <w:r>
        <w:t>M4.4 – ROI de proyectos SOAR: (Ahorro en costes de incidentes) / (Inversión en SOAR).[web:26]</w:t>
      </w:r>
    </w:p>
    <w:p>
      <w:pPr>
        <w:pStyle w:val="ListBullet"/>
        <w:keepLines w:val="1"/>
        <w:widowControl w:val="1"/>
      </w:pPr>
      <w:r>
        <w:t>M4.5 – Correlación entre IGM SOAR y reducción de coste/incidentes: análisis estadístico de relación entre madurez y resultados.[web:28]</w:t>
      </w:r>
    </w:p>
    <w:p>
      <w:pPr>
        <w:pStyle w:val="Heading2"/>
        <w:keepNext/>
        <w:keepLines/>
      </w:pPr>
      <w:r>
        <w:rPr>
          <w:color w:val="0066CC"/>
        </w:rPr>
        <w:t>7. Calificación PRAGMATIC de las métricas (visión general)</w:t>
      </w:r>
    </w:p>
    <w:p>
      <w:r>
        <w:t>Cada métrica anterior se evalúa con los criterios PRAGMATIC, mediante escala cualitativa Alta (A), Media (M), Baja (B). La matriz completa se desarrolla en el documento específico, pero a modo de síntesis:</w:t>
      </w:r>
    </w:p>
    <w:p>
      <w:pPr>
        <w:pStyle w:val="ListBullet"/>
        <w:keepLines w:val="1"/>
        <w:keepNext w:val="1"/>
        <w:widowControl w:val="1"/>
      </w:pPr>
      <w:r>
        <w:t>Métricas de tiempo (MTTD, MTTR, MTTC, dwell time) suelen ser Altamente predictivas, relevantes y accionables, aunque su precisión y oportunidad dependen de la calidad del registro de incidentes.[web:24][web:22]</w:t>
      </w:r>
    </w:p>
    <w:p>
      <w:pPr>
        <w:pStyle w:val="ListBullet"/>
        <w:keepLines w:val="1"/>
        <w:keepNext w:val="1"/>
        <w:widowControl w:val="1"/>
      </w:pPr>
      <w:r>
        <w:t>Métricas de cobertura y calidad de automatización (porcentaje de alertas automatizadas, tasa de éxito de playbooks) son altamente accionables y significativas para gestión de SOC, con buena rentabilidad si se integran en cuadros de mando.[web:16][web:19]</w:t>
      </w:r>
    </w:p>
    <w:p>
      <w:pPr>
        <w:pStyle w:val="ListBullet"/>
        <w:keepLines w:val="1"/>
        <w:keepNext w:val="1"/>
        <w:widowControl w:val="1"/>
      </w:pPr>
      <w:r>
        <w:t>Métricas de cumplimiento (tiempo a notificación, % dentro de plazo) son altamente relevantes y precisas, pero su poder predictivo del riesgo técnico es limitado; brillan más en la dimensión regulatoria.[web:39][web:36]</w:t>
      </w:r>
    </w:p>
    <w:p>
      <w:pPr>
        <w:pStyle w:val="ListBullet"/>
        <w:keepLines w:val="1"/>
        <w:widowControl w:val="1"/>
      </w:pPr>
      <w:r>
        <w:t>Métricas económicas y de ROI son muy significativas y potencialmente independientes, pero su precisión y genuinidad dependen de supuestos y modelos; requieren mayor madurez analítica.[web:26][web:28]</w:t>
      </w:r>
    </w:p>
    <w:p>
      <w:r>
        <w:t>La combinación GQM + PRAGMATIC permite priorizar qué métricas deben ocupar el centro del tablero nacional y cuáles conviene mantener como indicadores secundarios o experimentales.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