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detallado de preguntas de encuesta a marcos normativos (GQM + PRAGMATIC)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encuesta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asociado (GQM)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G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/ referencia principal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de alineación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5–8 (gobierno SOAR)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Estructura de gobierno, hoja de ruta (no numérico directo)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G2, G3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(gestión de riesgos, gobernanza), ENS (organización de seguridad)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Evalúa existencia de marco organizativo necesario para implementar métricas de automatización y cumplimiento.[web:39][web:36]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9–13 (modelo SOC, integraciones)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Soporte operacional para M1.x, M2.x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G1, G2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(capacidades de detección y respuesta), ENISA guías CSIRT/SOC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Contextualiza tiempos y coberturas; sin SOC y telemetría, MTTD/MTTR carecen de base.[web:22][web:24]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14–18 (MTTD, MTTC, MTTR, impacto SOAR)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M1.1–M1.5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SP 800‑61 rev.3, NIS2, 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Núcleo de indicadores de proceso de respuesta; conectan directamente con resiliencia.[web:24]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19–24 (falsos positivos, re‑aperturas, rollbacks)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Calidad de detección y automatización (apoya M2.1–M2.5)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(proporcionalidad), ENISA SOC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Aseguran que la automatización no degrade la fiabilidad del SOC.[web:22][web:13]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25–28 (catálogo de casos de uso, actualización)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Cobertura conceptual de casos de uso (apoya M2.3)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ENISA (marcos de casos de uso), buenas prácticas SOC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Requisito organizativo para una automatización consistente y medible.[web:22]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29–32 (notificación, plantillas, tiempos)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M3.1–M3.4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NIS2, ENS, regulaciones sectoriales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Directamente relacionados con plazos y calidad de reporting.[web:39][web:36]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33–36 (coste, ROI, percepción de valor)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M4.1–M4.4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(gestión de riesgos), marcos internos de riesgo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Vinculan ciberseguridad con coste e inversión, requisito para gobierno corporativo.[web:26][web:28]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37–40 (madurez, barreras, IA)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IGM, M4.5 (correlación)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G1–G4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ENISA (evolución de capacidades), NIS2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Permiten interpretar el estado actual y la viabilidad de mejoras futuras.[web:37][web:25]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