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MARCO INTEGRATIVO GQM + PRAGMATIC APLICADO A MARGA‑ENS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El presente marco integra dos enfoques complementarios:</w:t>
      </w:r>
    </w:p>
    <w:p>
      <w:pPr>
        <w:pStyle w:val="ListBullet"/>
        <w:keepLines w:val="1"/>
        <w:keepNext w:val="1"/>
        <w:widowControl w:val="1"/>
      </w:pPr>
      <w:r>
        <w:t xml:space="preserve">GQM (Goal–Question–Metric), que estructura la medición a partir de metas, preguntas y métricas.[web:41][web:45][web:50]  </w:t>
      </w:r>
    </w:p>
    <w:p>
      <w:pPr>
        <w:pStyle w:val="ListBullet"/>
        <w:keepLines w:val="1"/>
        <w:widowControl w:val="1"/>
      </w:pPr>
      <w:r>
        <w:t>PRAGMATIC, un metamétodo para evaluar la utilidad de cada métrica según nueve criterios: Predictiva, Relevante, Accionable, Genuina, Significativa, Precisa (Accurate), Oportuna (Timely), Independiente y Rentable (Cost).[web:46][web:48][web:54][web:51]</w:t>
      </w:r>
    </w:p>
    <w:p>
      <w:r>
        <w:t>Se aplica sobre el universo MARGA‑ENS: indicadores derivados del ENS y del modelo IMC de INCIBE para la mejora de la ciberresiliencia.[web:26][web:49][web:27][web:52]</w:t>
      </w:r>
    </w:p>
    <w:p>
      <w:pPr>
        <w:pStyle w:val="Heading2"/>
        <w:keepNext/>
        <w:keepLines/>
      </w:pPr>
      <w:r>
        <w:rPr>
          <w:color w:val="0066CC"/>
        </w:rPr>
        <w:t>2. GQM en clave MARGA‑ENS</w:t>
      </w:r>
    </w:p>
    <w:p>
      <w:pPr>
        <w:pStyle w:val="Heading3"/>
        <w:keepNext/>
        <w:keepLines/>
      </w:pPr>
      <w:r>
        <w:t>2.1. Niveles GQM</w:t>
      </w:r>
    </w:p>
    <w:p>
      <w:r>
        <w:t>Siguiendo la literatura GQM, utilizamos tres niveles jerárquicos:[web:41][web:45][web:50]</w:t>
      </w:r>
    </w:p>
    <w:p>
      <w:pPr>
        <w:pStyle w:val="ListNumber"/>
        <w:keepLines w:val="1"/>
        <w:keepNext w:val="1"/>
        <w:widowControl w:val="1"/>
      </w:pPr>
      <w:r>
        <w:t xml:space="preserve">Goal (Meta): objetivos estratégicos nacionales u organizativos (p. ej. “Aumentar la ciberresiliencia de los servicios esenciales”).  </w:t>
      </w:r>
    </w:p>
    <w:p>
      <w:pPr>
        <w:pStyle w:val="ListNumber"/>
        <w:keepLines w:val="1"/>
        <w:keepNext w:val="1"/>
        <w:widowControl w:val="1"/>
      </w:pPr>
      <w:r>
        <w:t xml:space="preserve">Question (Pregunta): cuestiones que ayudan a evaluar hasta qué punto se logra la meta (p. ej. “¿Con qué rapidez detectamos incidentes?”).  </w:t>
      </w:r>
    </w:p>
    <w:p>
      <w:pPr>
        <w:pStyle w:val="ListNumber"/>
        <w:keepLines w:val="1"/>
        <w:widowControl w:val="1"/>
      </w:pPr>
      <w:r>
        <w:t>Metric (Métrica): datos observables que responden cuantitativamente a las preguntas (p. ej. “MTTD medio en horas”).</w:t>
      </w:r>
    </w:p>
    <w:p>
      <w:r>
        <w:t>En el contexto IMC, las metas suelen ser de alto nivel (Anticipar, Resistir, Recuperar, Evolucionar), los dominios funcionales se traducen en preguntas, y las fichas de indicadores describen las métricas concretas.[web:33][web:49][web:27][web:52]</w:t>
      </w:r>
    </w:p>
    <w:p>
      <w:pPr>
        <w:pStyle w:val="Heading2"/>
        <w:keepNext/>
        <w:keepLines/>
      </w:pPr>
      <w:r>
        <w:rPr>
          <w:color w:val="0066CC"/>
        </w:rPr>
        <w:t>3. PRAGMATIC como metamétrica</w:t>
      </w:r>
    </w:p>
    <w:p>
      <w:pPr>
        <w:pStyle w:val="Heading3"/>
        <w:keepNext/>
        <w:keepLines/>
      </w:pPr>
      <w:r>
        <w:t>3.1. Criterios PRAGMATIC</w:t>
      </w:r>
    </w:p>
    <w:p>
      <w:r>
        <w:t>Tomamos como referencia la formulación de Brotby/Hinson y Kabay:[web:46][web:48][web:54][web:51]</w:t>
      </w:r>
    </w:p>
    <w:p>
      <w:pPr>
        <w:pStyle w:val="ListBullet"/>
        <w:keepLines w:val="1"/>
        <w:keepNext w:val="1"/>
        <w:widowControl w:val="1"/>
      </w:pPr>
      <w:r>
        <w:t xml:space="preserve">P – Predictive (Predictiva): ayuda a anticipar el futuro, no sólo a describir el pasado.  </w:t>
      </w:r>
    </w:p>
    <w:p>
      <w:pPr>
        <w:pStyle w:val="ListBullet"/>
        <w:keepLines w:val="1"/>
        <w:keepNext w:val="1"/>
        <w:widowControl w:val="1"/>
      </w:pPr>
      <w:r>
        <w:t xml:space="preserve">R – Relevant (Relevante): guarda relación directa con metas y riesgos relevantes.  </w:t>
      </w:r>
    </w:p>
    <w:p>
      <w:pPr>
        <w:pStyle w:val="ListBullet"/>
        <w:keepLines w:val="1"/>
        <w:keepNext w:val="1"/>
        <w:widowControl w:val="1"/>
      </w:pPr>
      <w:r>
        <w:t xml:space="preserve">A – Actionable (Accionable): permite tomar decisiones o priorizar acciones.  </w:t>
      </w:r>
    </w:p>
    <w:p>
      <w:pPr>
        <w:pStyle w:val="ListBullet"/>
        <w:keepLines w:val="1"/>
        <w:keepNext w:val="1"/>
        <w:widowControl w:val="1"/>
      </w:pPr>
      <w:r>
        <w:t xml:space="preserve">G – Genuine (Genuina): se basa en datos reales, no en estimaciones arbitrarias.  </w:t>
      </w:r>
    </w:p>
    <w:p>
      <w:pPr>
        <w:pStyle w:val="ListBullet"/>
        <w:keepLines w:val="1"/>
        <w:keepNext w:val="1"/>
        <w:widowControl w:val="1"/>
      </w:pPr>
      <w:r>
        <w:t xml:space="preserve">M – Meaningful (Significativa): es comprensible y aporta sentido a los interesados.  </w:t>
      </w:r>
    </w:p>
    <w:p>
      <w:pPr>
        <w:pStyle w:val="ListBullet"/>
        <w:keepLines w:val="1"/>
        <w:keepNext w:val="1"/>
        <w:widowControl w:val="1"/>
      </w:pPr>
      <w:r>
        <w:t xml:space="preserve">A – Accurate (Precisa): suficientemente correcta para el uso previsto.  </w:t>
      </w:r>
    </w:p>
    <w:p>
      <w:pPr>
        <w:pStyle w:val="ListBullet"/>
        <w:keepLines w:val="1"/>
        <w:keepNext w:val="1"/>
        <w:widowControl w:val="1"/>
      </w:pPr>
      <w:r>
        <w:t xml:space="preserve">T – Timely (Oportuna): disponible cuando se necesita para la decisión.  </w:t>
      </w:r>
    </w:p>
    <w:p>
      <w:pPr>
        <w:pStyle w:val="ListBullet"/>
        <w:keepLines w:val="1"/>
        <w:keepNext w:val="1"/>
        <w:widowControl w:val="1"/>
      </w:pPr>
      <w:r>
        <w:t xml:space="preserve">I – Independent (Independiente): mínimamente susceptible a manipulación interesada.  </w:t>
      </w:r>
    </w:p>
    <w:p>
      <w:pPr>
        <w:pStyle w:val="ListBullet"/>
        <w:keepLines w:val="1"/>
        <w:widowControl w:val="1"/>
      </w:pPr>
      <w:r>
        <w:t>C – Cost‑effective (Rentable): el coste de obtenerla no supera el valor que aporta.</w:t>
      </w:r>
    </w:p>
    <w:p>
      <w:r>
        <w:t>Cada métrica MARGA‑ENS será evaluada contra estos criterios mediante una escala 0–3 (0 = no cumple, 3 = cumple muy bien), generando un “score PRAGMATIC” total de 0–27.</w:t>
      </w:r>
    </w:p>
    <w:p>
      <w:pPr>
        <w:pStyle w:val="Heading2"/>
        <w:keepNext/>
        <w:keepLines/>
      </w:pPr>
      <w:r>
        <w:rPr>
          <w:color w:val="0066CC"/>
        </w:rPr>
        <w:t>4. Metas GQM de alto nivel para MARGA‑ENS</w:t>
      </w:r>
    </w:p>
    <w:p>
      <w:r>
        <w:t>A modo de esqueleto nacional, proponemos siete metas GQM:</w:t>
      </w:r>
    </w:p>
    <w:p>
      <w:pPr>
        <w:pStyle w:val="ListNumber"/>
        <w:keepLines w:val="1"/>
        <w:keepNext w:val="1"/>
        <w:widowControl w:val="1"/>
      </w:pPr>
      <w:r>
        <w:t xml:space="preserve">G1 – Asegurar la adecuada implantación del ENS en las organizaciones obligadas.[web:26][web:19]  </w:t>
      </w:r>
    </w:p>
    <w:p>
      <w:pPr>
        <w:pStyle w:val="ListNumber"/>
        <w:keepLines w:val="1"/>
        <w:keepNext w:val="1"/>
        <w:widowControl w:val="1"/>
      </w:pPr>
      <w:r>
        <w:t xml:space="preserve">G2 – Incrementar la ciberresiliencia de los servicios esenciales según el modelo IMC.[web:49][web:27][web:52]  </w:t>
      </w:r>
    </w:p>
    <w:p>
      <w:pPr>
        <w:pStyle w:val="ListNumber"/>
        <w:keepLines w:val="1"/>
        <w:keepNext w:val="1"/>
        <w:widowControl w:val="1"/>
      </w:pPr>
      <w:r>
        <w:t xml:space="preserve">G3 – Mejorar la eficacia operativa de la función de ciberseguridad (detección, respuesta, recuperación).[web:33][web:20]  </w:t>
      </w:r>
    </w:p>
    <w:p>
      <w:pPr>
        <w:pStyle w:val="ListNumber"/>
        <w:keepLines w:val="1"/>
        <w:keepNext w:val="1"/>
        <w:widowControl w:val="1"/>
      </w:pPr>
      <w:r>
        <w:t xml:space="preserve">G4 – Evolucionar hacia arquitecturas Zero Trust acordes con las mejores prácticas internacionales.[web:6][web:14][web:10]  </w:t>
      </w:r>
    </w:p>
    <w:p>
      <w:pPr>
        <w:pStyle w:val="ListNumber"/>
        <w:keepLines w:val="1"/>
        <w:keepNext w:val="1"/>
        <w:widowControl w:val="1"/>
      </w:pPr>
      <w:r>
        <w:t xml:space="preserve">G5 – Consolidar una cultura de seguridad y continuidad medible.[web:49][web:52]  </w:t>
      </w:r>
    </w:p>
    <w:p>
      <w:pPr>
        <w:pStyle w:val="ListNumber"/>
        <w:keepLines w:val="1"/>
        <w:keepNext w:val="1"/>
        <w:widowControl w:val="1"/>
      </w:pPr>
      <w:r>
        <w:t xml:space="preserve">G6 – Gestionar el riesgo cibernético como riesgo empresarial, con cuantificación económica.[web:33][web:11][web:12]  </w:t>
      </w:r>
    </w:p>
    <w:p>
      <w:pPr>
        <w:pStyle w:val="ListNumber"/>
        <w:keepLines w:val="1"/>
        <w:widowControl w:val="1"/>
      </w:pPr>
      <w:r>
        <w:t>G7 – Alinear la postura nacional con marcos europeos e internacionales de ciberseguridad y ciberresiliencia.[web:7][web:15][web:52]</w:t>
      </w:r>
    </w:p>
    <w:p>
      <w:r>
        <w:t>A partir de ellas se derivan las preguntas y métricas que la encuesta MARGA‑ENS explora.</w:t>
      </w:r>
    </w:p>
    <w:p>
      <w:pPr>
        <w:pStyle w:val="Heading2"/>
        <w:keepNext/>
        <w:keepLines/>
      </w:pPr>
      <w:r>
        <w:rPr>
          <w:color w:val="0066CC"/>
        </w:rPr>
        <w:t>5. Ejemplos de cadenas GQM por dominio</w:t>
      </w:r>
    </w:p>
    <w:p>
      <w:r>
        <w:t>A continuación, algunos ejemplos representativos de cómo se estructura la cadena GQM en los indicadores clave del informe MARGA‑ENS.</w:t>
      </w:r>
    </w:p>
    <w:p>
      <w:pPr>
        <w:pStyle w:val="Heading3"/>
        <w:keepNext/>
        <w:keepLines/>
      </w:pPr>
      <w:r>
        <w:t>5.1. Gobernanza ENS y adecuación (G1)</w:t>
      </w:r>
    </w:p>
    <w:p>
      <w:r>
        <w:rPr>
          <w:b/>
        </w:rPr>
        <w:t>Meta G1:</w:t>
      </w:r>
      <w:r>
        <w:t xml:space="preserve"> Asegurar que las organizaciones obligadas han completado y mantienen el ciclo de adecuación ENS (alcance, categorización, DoA, implantación, auditoría, reporting).[web:26][web:19]</w:t>
      </w:r>
    </w:p>
    <w:p>
      <w:pPr>
        <w:pStyle w:val="ListBullet"/>
        <w:keepLines w:val="1"/>
        <w:keepNext w:val="1"/>
        <w:widowControl w:val="1"/>
      </w:pPr>
      <w:r>
        <w:t xml:space="preserve">Pregunta Q1.1: ¿Hasta qué punto se han categorizado los sistemas sujetos a ENS?  </w:t>
      </w:r>
    </w:p>
    <w:p>
      <w:pPr>
        <w:pStyle w:val="ListBullet"/>
        <w:keepLines w:val="1"/>
        <w:keepNext w:val="1"/>
        <w:widowControl w:val="1"/>
      </w:pPr>
      <w:r>
        <w:t xml:space="preserve">Métrica M1.1.a: % de sistemas críticos categorizados según ENS (básico/medio/alto).  </w:t>
      </w:r>
    </w:p>
    <w:p>
      <w:pPr>
        <w:pStyle w:val="ListBullet"/>
        <w:keepLines w:val="1"/>
        <w:keepNext w:val="1"/>
        <w:widowControl w:val="1"/>
      </w:pPr>
      <w:r>
        <w:t xml:space="preserve">Pregunta Q1.2: ¿En qué medida se ha formalizado la Declaración de Aplicabilidad (DoA)?  </w:t>
      </w:r>
    </w:p>
    <w:p>
      <w:pPr>
        <w:pStyle w:val="ListBullet"/>
        <w:keepLines w:val="1"/>
        <w:keepNext w:val="1"/>
        <w:widowControl w:val="1"/>
      </w:pPr>
      <w:r>
        <w:t xml:space="preserve">Métrica M1.2.a: Estado de la DoA (0 = inexistente, 1 = parcial, 2 = completa sin aprobar, 3 = completa y aprobada).  </w:t>
      </w:r>
    </w:p>
    <w:p>
      <w:pPr>
        <w:pStyle w:val="ListBullet"/>
        <w:keepLines w:val="1"/>
        <w:keepNext w:val="1"/>
        <w:widowControl w:val="1"/>
      </w:pPr>
      <w:r>
        <w:t xml:space="preserve">Pregunta Q1.3: ¿Cuál es el grado de implantación de las medidas ENS definidas en la DoA?  </w:t>
      </w:r>
    </w:p>
    <w:p>
      <w:pPr>
        <w:pStyle w:val="ListBullet"/>
        <w:keepLines w:val="1"/>
        <w:widowControl w:val="1"/>
      </w:pPr>
      <w:r>
        <w:t xml:space="preserve">Métrica M1.3.a: % de medidas ENS implantadas respecto a las planificadas.  </w:t>
      </w:r>
    </w:p>
    <w:p>
      <w:pPr>
        <w:pStyle w:val="Heading3"/>
        <w:keepNext/>
        <w:keepLines/>
      </w:pPr>
      <w:r>
        <w:t>5.2. Ciberresiliencia IMC (G2)</w:t>
      </w:r>
    </w:p>
    <w:p>
      <w:r>
        <w:rPr>
          <w:b/>
        </w:rPr>
        <w:t>Meta G2:</w:t>
      </w:r>
      <w:r>
        <w:t xml:space="preserve"> Aumentar la capacidad de </w:t>
      </w:r>
      <w:r>
        <w:rPr>
          <w:b/>
        </w:rPr>
        <w:t>anticipar, resistir, recuperar y evolucionar</w:t>
      </w:r>
      <w:r>
        <w:t xml:space="preserve"> frente a ciberataques, según el modelo IMC de INCIBE.[web:49][web:27][web:33][web:52]</w:t>
      </w:r>
    </w:p>
    <w:p>
      <w:pPr>
        <w:pStyle w:val="ListBullet"/>
        <w:keepLines w:val="1"/>
        <w:keepNext w:val="1"/>
        <w:widowControl w:val="1"/>
      </w:pPr>
      <w:r>
        <w:t xml:space="preserve">Pregunta Q2.1: ¿Qué grado de utilización del modelo IMC existe en la organización?  </w:t>
      </w:r>
    </w:p>
    <w:p>
      <w:pPr>
        <w:pStyle w:val="ListBullet"/>
        <w:keepLines w:val="1"/>
        <w:keepNext w:val="1"/>
        <w:widowControl w:val="1"/>
      </w:pPr>
      <w:r>
        <w:t xml:space="preserve">Métrica M2.1.a: Nivel de adopción IMC (0–3: desconocido, conocido, en piloto, implantado).  </w:t>
      </w:r>
    </w:p>
    <w:p>
      <w:pPr>
        <w:pStyle w:val="ListBullet"/>
        <w:keepLines w:val="1"/>
        <w:keepNext w:val="1"/>
        <w:widowControl w:val="1"/>
      </w:pPr>
      <w:r>
        <w:t xml:space="preserve">Pregunta Q2.2: ¿Cómo de maduros son los indicadores de la meta Anticipar?  </w:t>
      </w:r>
    </w:p>
    <w:p>
      <w:pPr>
        <w:pStyle w:val="ListBullet"/>
        <w:keepLines w:val="1"/>
        <w:keepNext w:val="1"/>
        <w:widowControl w:val="1"/>
      </w:pPr>
      <w:r>
        <w:t xml:space="preserve">Métrica M2.2.a: Índice de madurez IMC‑Anticipar (0–100) según fichas IMC.  </w:t>
      </w:r>
    </w:p>
    <w:p>
      <w:pPr>
        <w:pStyle w:val="ListBullet"/>
        <w:keepLines w:val="1"/>
        <w:keepNext w:val="1"/>
        <w:widowControl w:val="1"/>
      </w:pPr>
      <w:r>
        <w:t xml:space="preserve">Pregunta Q2.3: ¿Se miden tiempos de recuperación y continuidad para la meta Recuperar?  </w:t>
      </w:r>
    </w:p>
    <w:p>
      <w:pPr>
        <w:pStyle w:val="ListBullet"/>
        <w:keepLines w:val="1"/>
        <w:widowControl w:val="1"/>
      </w:pPr>
      <w:r>
        <w:t>Métrica M2.3.a: % de servicios esenciales con pruebas de recuperación exitosas dentro de RTO.</w:t>
      </w:r>
    </w:p>
    <w:p>
      <w:pPr>
        <w:pStyle w:val="Heading3"/>
        <w:keepNext/>
        <w:keepLines/>
      </w:pPr>
      <w:r>
        <w:t>5.3. Eficacia operativa (G3)</w:t>
      </w:r>
    </w:p>
    <w:p>
      <w:r>
        <w:rPr>
          <w:b/>
        </w:rPr>
        <w:t>Meta G3:</w:t>
      </w:r>
      <w:r>
        <w:t xml:space="preserve"> Reducir tiempos de detección, respuesta y recuperación, así como la frecuencia e impacto de incidentes.[web:33][web:20][web:21]</w:t>
      </w:r>
    </w:p>
    <w:p>
      <w:pPr>
        <w:pStyle w:val="ListBullet"/>
        <w:keepLines w:val="1"/>
        <w:keepNext w:val="1"/>
        <w:widowControl w:val="1"/>
      </w:pPr>
      <w:r>
        <w:t xml:space="preserve">Pregunta Q3.1: ¿Cuál es el tiempo medio de detección de incidentes significativos?  </w:t>
      </w:r>
    </w:p>
    <w:p>
      <w:pPr>
        <w:pStyle w:val="ListBullet"/>
        <w:keepLines w:val="1"/>
        <w:keepNext w:val="1"/>
        <w:widowControl w:val="1"/>
      </w:pPr>
      <w:r>
        <w:t xml:space="preserve">Métrica M3.1.a: MTTD (Media de Tiempo de Detección) en minutos/horas.  </w:t>
      </w:r>
    </w:p>
    <w:p>
      <w:pPr>
        <w:pStyle w:val="ListBullet"/>
        <w:keepLines w:val="1"/>
        <w:keepNext w:val="1"/>
        <w:widowControl w:val="1"/>
      </w:pPr>
      <w:r>
        <w:t xml:space="preserve">Pregunta Q3.2: ¿Cuál es el tiempo medio de respuesta y contención?  </w:t>
      </w:r>
    </w:p>
    <w:p>
      <w:pPr>
        <w:pStyle w:val="ListBullet"/>
        <w:keepLines w:val="1"/>
        <w:keepNext w:val="1"/>
        <w:widowControl w:val="1"/>
      </w:pPr>
      <w:r>
        <w:t xml:space="preserve">Métrica M3.2.a: MTTR (Media de Tiempo de Respuesta) en minutos/horas.  </w:t>
      </w:r>
    </w:p>
    <w:p>
      <w:pPr>
        <w:pStyle w:val="ListBullet"/>
        <w:keepLines w:val="1"/>
        <w:keepNext w:val="1"/>
        <w:widowControl w:val="1"/>
      </w:pPr>
      <w:r>
        <w:t xml:space="preserve">Pregunta Q3.3: ¿Qué eficacia muestra el programa de gestión de vulnerabilidades?  </w:t>
      </w:r>
    </w:p>
    <w:p>
      <w:pPr>
        <w:pStyle w:val="ListBullet"/>
        <w:keepLines w:val="1"/>
        <w:keepNext w:val="1"/>
        <w:widowControl w:val="1"/>
      </w:pPr>
      <w:r>
        <w:t xml:space="preserve">Métrica M3.3.a: Tiempo medio de parcheado de vulnerabilidades críticas.  </w:t>
      </w:r>
    </w:p>
    <w:p>
      <w:pPr>
        <w:pStyle w:val="ListBullet"/>
        <w:keepLines w:val="1"/>
        <w:widowControl w:val="1"/>
      </w:pPr>
      <w:r>
        <w:t>Métrica M3.3.b: % de vulnerabilidades críticas resueltas dentro de SLA.</w:t>
      </w:r>
    </w:p>
    <w:p>
      <w:pPr>
        <w:pStyle w:val="Heading3"/>
        <w:keepNext/>
        <w:keepLines/>
      </w:pPr>
      <w:r>
        <w:t>5.4. Zero Trust (G4)</w:t>
      </w:r>
    </w:p>
    <w:p>
      <w:r>
        <w:rPr>
          <w:b/>
        </w:rPr>
        <w:t>Meta G4:</w:t>
      </w:r>
      <w:r>
        <w:t xml:space="preserve"> Transicionar progresivamente a un modelo Zero Trust, reduciendo confianza implícita en perímetros y reforzando controles basados en identidad y contexto.[web:6][web:10][web:14]</w:t>
      </w:r>
    </w:p>
    <w:p>
      <w:pPr>
        <w:pStyle w:val="ListBullet"/>
        <w:keepLines w:val="1"/>
        <w:keepNext w:val="1"/>
        <w:widowControl w:val="1"/>
      </w:pPr>
      <w:r>
        <w:t xml:space="preserve">Pregunta Q4.1: ¿Cuál es el grado de protección de recursos críticos con MFA y controles contextuales?  </w:t>
      </w:r>
    </w:p>
    <w:p>
      <w:pPr>
        <w:pStyle w:val="ListBullet"/>
        <w:keepLines w:val="1"/>
        <w:keepNext w:val="1"/>
        <w:widowControl w:val="1"/>
      </w:pPr>
      <w:r>
        <w:t xml:space="preserve">Métrica M4.1.a: % de recursos críticos accesibles sólo mediante MFA.  </w:t>
      </w:r>
    </w:p>
    <w:p>
      <w:pPr>
        <w:pStyle w:val="ListBullet"/>
        <w:keepLines w:val="1"/>
        <w:keepNext w:val="1"/>
        <w:widowControl w:val="1"/>
      </w:pPr>
      <w:r>
        <w:t xml:space="preserve">Pregunta Q4.2: ¿Hasta qué punto se monitorizan y controlan los accesos este‑oeste?  </w:t>
      </w:r>
    </w:p>
    <w:p>
      <w:pPr>
        <w:pStyle w:val="ListBullet"/>
        <w:keepLines w:val="1"/>
        <w:widowControl w:val="1"/>
      </w:pPr>
      <w:r>
        <w:t>Métrica M4.2.a: % de segmentos de red con registros de tráfico completos y analizados.</w:t>
      </w:r>
    </w:p>
    <w:p>
      <w:pPr>
        <w:pStyle w:val="Heading3"/>
        <w:keepNext/>
        <w:keepLines/>
      </w:pPr>
      <w:r>
        <w:t>5.5. Cultura y continuidad (G5)</w:t>
      </w:r>
    </w:p>
    <w:p>
      <w:r>
        <w:rPr>
          <w:b/>
        </w:rPr>
        <w:t>Meta G5:</w:t>
      </w:r>
      <w:r>
        <w:t xml:space="preserve"> Desarrollar una cultura de seguridad y continuidad basada en formación, concienciación y pruebas periódicas.[web:26][web:49][web:52]</w:t>
      </w:r>
    </w:p>
    <w:p>
      <w:pPr>
        <w:pStyle w:val="ListBullet"/>
        <w:keepLines w:val="1"/>
        <w:keepNext w:val="1"/>
        <w:widowControl w:val="1"/>
      </w:pPr>
      <w:r>
        <w:t xml:space="preserve">Pregunta Q5.1: ¿Cuál es el alcance real del programa de formación?  </w:t>
      </w:r>
    </w:p>
    <w:p>
      <w:pPr>
        <w:pStyle w:val="ListBullet"/>
        <w:keepLines w:val="1"/>
        <w:keepNext w:val="1"/>
        <w:widowControl w:val="1"/>
      </w:pPr>
      <w:r>
        <w:t xml:space="preserve">Métrica M5.1.a: % de personal que ha completado formación anual obligatoria.  </w:t>
      </w:r>
    </w:p>
    <w:p>
      <w:pPr>
        <w:pStyle w:val="ListBullet"/>
        <w:keepLines w:val="1"/>
        <w:keepNext w:val="1"/>
        <w:widowControl w:val="1"/>
      </w:pPr>
      <w:r>
        <w:t xml:space="preserve">Pregunta Q5.2: ¿Se prueban los planes de continuidad y recuperación?  </w:t>
      </w:r>
    </w:p>
    <w:p>
      <w:pPr>
        <w:pStyle w:val="ListBullet"/>
        <w:keepLines w:val="1"/>
        <w:keepNext w:val="1"/>
        <w:widowControl w:val="1"/>
      </w:pPr>
      <w:r>
        <w:t xml:space="preserve">Métrica M5.2.a: Frecuencia de pruebas de BCP/DRP (ejercicios/año).  </w:t>
      </w:r>
    </w:p>
    <w:p>
      <w:pPr>
        <w:pStyle w:val="ListBullet"/>
        <w:keepLines w:val="1"/>
        <w:widowControl w:val="1"/>
      </w:pPr>
      <w:r>
        <w:t>Métrica M5.2.b: % de pruebas que cumplen los RTO/RPO establecidos.</w:t>
      </w:r>
    </w:p>
    <w:p>
      <w:pPr>
        <w:pStyle w:val="Heading3"/>
        <w:keepNext/>
        <w:keepLines/>
      </w:pPr>
      <w:r>
        <w:t>5.6. Riesgo y ROI (G6)</w:t>
      </w:r>
    </w:p>
    <w:p>
      <w:r>
        <w:rPr>
          <w:b/>
        </w:rPr>
        <w:t>Meta G6:</w:t>
      </w:r>
      <w:r>
        <w:t xml:space="preserve"> Gestionar el riesgo cibernético como riesgo empresarial, articulando cuantificación económica básica.[web:33][web:11][web:12]</w:t>
      </w:r>
    </w:p>
    <w:p>
      <w:pPr>
        <w:pStyle w:val="ListBullet"/>
        <w:keepLines w:val="1"/>
        <w:keepNext w:val="1"/>
        <w:widowControl w:val="1"/>
      </w:pPr>
      <w:r>
        <w:t xml:space="preserve">Pregunta Q6.1: ¿Se estima la pérdida anual esperada por incidentes?  </w:t>
      </w:r>
    </w:p>
    <w:p>
      <w:pPr>
        <w:pStyle w:val="ListBullet"/>
        <w:keepLines w:val="1"/>
        <w:keepNext w:val="1"/>
        <w:widowControl w:val="1"/>
      </w:pPr>
      <w:r>
        <w:t xml:space="preserve">Métrica M6.1.a: Pérdida anual esperada estimada (€).  </w:t>
      </w:r>
    </w:p>
    <w:p>
      <w:pPr>
        <w:pStyle w:val="ListBullet"/>
        <w:keepLines w:val="1"/>
        <w:keepNext w:val="1"/>
        <w:widowControl w:val="1"/>
      </w:pPr>
      <w:r>
        <w:t xml:space="preserve">Pregunta Q6.2: ¿Qué proporción del presupuesto TI se destina a ciberseguridad?  </w:t>
      </w:r>
    </w:p>
    <w:p>
      <w:pPr>
        <w:pStyle w:val="ListBullet"/>
        <w:keepLines w:val="1"/>
        <w:keepNext w:val="1"/>
        <w:widowControl w:val="1"/>
      </w:pPr>
      <w:r>
        <w:t xml:space="preserve">Métrica M6.2.a: % presupuesto TI dedicado a ciberseguridad.  </w:t>
      </w:r>
    </w:p>
    <w:p>
      <w:pPr>
        <w:pStyle w:val="ListBullet"/>
        <w:keepLines w:val="1"/>
        <w:keepNext w:val="1"/>
        <w:widowControl w:val="1"/>
      </w:pPr>
      <w:r>
        <w:t xml:space="preserve">Pregunta Q6.3: ¿Se aproxima el retorno de la inversión en ciberseguridad?  </w:t>
      </w:r>
    </w:p>
    <w:p>
      <w:pPr>
        <w:pStyle w:val="ListBullet"/>
        <w:keepLines w:val="1"/>
        <w:widowControl w:val="1"/>
      </w:pPr>
      <w:r>
        <w:t>Métrica M6.3.a: ROI estimado = (Pérdida evitada – inversión) / inversión.</w:t>
      </w:r>
    </w:p>
    <w:p>
      <w:pPr>
        <w:pStyle w:val="Heading2"/>
        <w:keepNext/>
        <w:keepLines/>
      </w:pPr>
      <w:r>
        <w:rPr>
          <w:color w:val="0066CC"/>
        </w:rPr>
        <w:t>6. Evaluación PRAGMATIC de las métricas MARGA‑ENS</w:t>
      </w:r>
    </w:p>
    <w:p>
      <w:r>
        <w:t>Para cada métrica Mx.y.z definida en el informe MARGA‑ENS se propone:</w:t>
      </w:r>
    </w:p>
    <w:p>
      <w:pPr>
        <w:pStyle w:val="ListNumber"/>
        <w:keepLines w:val="1"/>
        <w:keepNext w:val="1"/>
        <w:widowControl w:val="1"/>
      </w:pPr>
      <w:r>
        <w:t xml:space="preserve">Completar una pequeña ficha PRAGMATIC con calificación 0–3 en cada criterio (P, R, A, G, M, A, T, I, C).  </w:t>
      </w:r>
    </w:p>
    <w:p>
      <w:pPr>
        <w:pStyle w:val="ListNumber"/>
        <w:keepLines w:val="1"/>
        <w:keepNext w:val="1"/>
        <w:widowControl w:val="1"/>
      </w:pPr>
      <w:r>
        <w:t xml:space="preserve">Calcular el PRAGMATIC Score total.  </w:t>
      </w:r>
    </w:p>
    <w:p>
      <w:pPr>
        <w:pStyle w:val="ListNumber"/>
        <w:keepLines w:val="1"/>
        <w:widowControl w:val="1"/>
      </w:pPr>
      <w:r>
        <w:t>Definir umbrales para distinguir métricas “estrella”, “aceptables” y “candidatas a jubilación”.</w:t>
      </w:r>
    </w:p>
    <w:p>
      <w:r>
        <w:t>Ejemplo (en abstracto):</w:t>
      </w:r>
    </w:p>
    <w:p>
      <w:pPr>
        <w:pStyle w:val="ListBullet"/>
        <w:keepLines w:val="1"/>
        <w:keepNext w:val="1"/>
        <w:widowControl w:val="1"/>
      </w:pPr>
      <w:r>
        <w:t xml:space="preserve">M3.1.a – MTTD medio  </w:t>
      </w:r>
    </w:p>
    <w:p>
      <w:pPr>
        <w:pStyle w:val="ListBullet"/>
        <w:keepLines w:val="1"/>
        <w:keepNext w:val="1"/>
        <w:widowControl w:val="1"/>
      </w:pPr>
      <w:r>
        <w:t xml:space="preserve">P: 3 (muy buen indicador para anticipar impacto futuro).  </w:t>
      </w:r>
    </w:p>
    <w:p>
      <w:pPr>
        <w:pStyle w:val="ListBullet"/>
        <w:keepLines w:val="1"/>
        <w:keepNext w:val="1"/>
        <w:widowControl w:val="1"/>
      </w:pPr>
      <w:r>
        <w:t xml:space="preserve">R: 3 (directamente ligado a la eficacia de detección).  </w:t>
      </w:r>
    </w:p>
    <w:p>
      <w:pPr>
        <w:pStyle w:val="ListBullet"/>
        <w:keepLines w:val="1"/>
        <w:keepNext w:val="1"/>
        <w:widowControl w:val="1"/>
      </w:pPr>
      <w:r>
        <w:t xml:space="preserve">A: 3 (permite priorizar inversiones en detección).  </w:t>
      </w:r>
    </w:p>
    <w:p>
      <w:pPr>
        <w:pStyle w:val="ListBullet"/>
        <w:keepLines w:val="1"/>
        <w:keepNext w:val="1"/>
        <w:widowControl w:val="1"/>
      </w:pPr>
      <w:r>
        <w:t xml:space="preserve">G: 2 (depende de la calidad de los registros).  </w:t>
      </w:r>
    </w:p>
    <w:p>
      <w:pPr>
        <w:pStyle w:val="ListBullet"/>
        <w:keepLines w:val="1"/>
        <w:keepNext w:val="1"/>
        <w:widowControl w:val="1"/>
      </w:pPr>
      <w:r>
        <w:t xml:space="preserve">M: 3 (fácil de entender).  </w:t>
      </w:r>
    </w:p>
    <w:p>
      <w:pPr>
        <w:pStyle w:val="ListBullet"/>
        <w:keepLines w:val="1"/>
        <w:keepNext w:val="1"/>
        <w:widowControl w:val="1"/>
      </w:pPr>
      <w:r>
        <w:t xml:space="preserve">A: 2 (precisión suficiente si la medición es homogénea).  </w:t>
      </w:r>
    </w:p>
    <w:p>
      <w:pPr>
        <w:pStyle w:val="ListBullet"/>
        <w:keepLines w:val="1"/>
        <w:keepNext w:val="1"/>
        <w:widowControl w:val="1"/>
      </w:pPr>
      <w:r>
        <w:t xml:space="preserve">T: 2 (si se calcula al menos mensualmente).  </w:t>
      </w:r>
    </w:p>
    <w:p>
      <w:pPr>
        <w:pStyle w:val="ListBullet"/>
        <w:keepLines w:val="1"/>
        <w:keepNext w:val="1"/>
        <w:widowControl w:val="1"/>
      </w:pPr>
      <w:r>
        <w:t xml:space="preserve">I: 2 (moderada independencia: podría maquillarse si no se define bien “incidente”).  </w:t>
      </w:r>
    </w:p>
    <w:p>
      <w:pPr>
        <w:pStyle w:val="ListBullet"/>
        <w:keepLines w:val="1"/>
        <w:keepNext w:val="1"/>
        <w:widowControl w:val="1"/>
      </w:pPr>
      <w:r>
        <w:t xml:space="preserve">C: 3 (bajo coste si ya existen SIEM/SOC).  </w:t>
      </w:r>
    </w:p>
    <w:p>
      <w:pPr>
        <w:pStyle w:val="ListBullet"/>
        <w:keepLines w:val="1"/>
        <w:widowControl w:val="1"/>
      </w:pPr>
      <w:r>
        <w:t>Total: 22/27.</w:t>
      </w:r>
    </w:p>
    <w:p>
      <w:r>
        <w:t>En los documentos siguientes se ofrece una matriz más completa.</w:t>
      </w:r>
    </w:p>
    <w:p>
      <w:pPr>
        <w:pStyle w:val="Heading2"/>
        <w:keepNext/>
        <w:keepLines/>
      </w:pPr>
      <w:r>
        <w:rPr>
          <w:color w:val="0066CC"/>
        </w:rPr>
        <w:t>7. Procedimiento de uso</w:t>
      </w:r>
    </w:p>
    <w:p>
      <w:pPr>
        <w:pStyle w:val="ListNumber"/>
        <w:keepLines w:val="1"/>
        <w:keepNext w:val="1"/>
        <w:widowControl w:val="1"/>
      </w:pPr>
      <w:r>
        <w:t xml:space="preserve">Definir metas GQM nacionales/organizativas (G1–G7 como base, adaptables).  </w:t>
      </w:r>
    </w:p>
    <w:p>
      <w:pPr>
        <w:pStyle w:val="ListNumber"/>
        <w:keepLines w:val="1"/>
        <w:keepNext w:val="1"/>
        <w:widowControl w:val="1"/>
      </w:pPr>
      <w:r>
        <w:t xml:space="preserve">Derivar preguntas para cada meta (Qx.y) alineadas con ENS, IMC y marcos afines.  </w:t>
      </w:r>
    </w:p>
    <w:p>
      <w:pPr>
        <w:pStyle w:val="ListNumber"/>
        <w:keepLines w:val="1"/>
        <w:keepNext w:val="1"/>
        <w:widowControl w:val="1"/>
      </w:pPr>
      <w:r>
        <w:t xml:space="preserve">Asociar métricas concretas (Mx.y.z) relacionadas con la encuesta MARGA‑ENS.  </w:t>
      </w:r>
    </w:p>
    <w:p>
      <w:pPr>
        <w:pStyle w:val="ListNumber"/>
        <w:keepLines w:val="1"/>
        <w:keepNext w:val="1"/>
        <w:widowControl w:val="1"/>
      </w:pPr>
      <w:r>
        <w:t xml:space="preserve">Evaluar cada métrica con PRAGMATIC, revisando si merece la pena mantenerla, mejorarla o eliminarla.  </w:t>
      </w:r>
    </w:p>
    <w:p>
      <w:pPr>
        <w:pStyle w:val="ListNumber"/>
        <w:keepLines w:val="1"/>
        <w:widowControl w:val="1"/>
      </w:pPr>
      <w:r>
        <w:t>Usar sólo métricas con buena puntuación PRAGMATIC como insumo para IGM, ROI y cuadros de mando estratégicos.</w:t>
      </w:r>
    </w:p>
    <w:p>
      <w:r>
        <w:t>El resultado es un marco que conecta objetivos nacionales con datos técnicos sin perderse en la jungla de los logs ni en el purgatorio de los PowerPoints.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