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(b) GUÍA METODOLÓGICA DETALLADA DE LA ENCUESTA MARGA‑ENS</w:t>
      </w:r>
    </w:p>
    <w:p>
      <w:pPr>
        <w:pStyle w:val="Heading2"/>
        <w:keepNext/>
        <w:keepLines/>
      </w:pPr>
      <w:r>
        <w:rPr>
          <w:color w:val="0066CC"/>
        </w:rPr>
        <w:t>1. Objeto de la guía</w:t>
      </w:r>
    </w:p>
    <w:p>
      <w:r>
        <w:t>Esta guía describe la lógica, el uso y la interpretación de la encuesta MARGA‑ENS sobre indicadores y métricas de ciberseguridad y ciberresiliencia en organizaciones públicas y privadas alineadas con el Esquema Nacional de Seguridad (ENS). Se inspira en el proceso de adecuación ENS, en el proyecto INES para informar sobre el estado de seguridad y en el modelo IMC de indicadores para la mejora de la ciberresiliencia.[web:19][web:16][web:27][web:35]</w:t>
      </w:r>
    </w:p>
    <w:p>
      <w:r>
        <w:t>La encuesta no pretende ser un examen, sino un espejo: su objetivo es proporcionar una imagen honesta del grado de implantación de prácticas de medición, para facilitar decisiones estratégicas de mejora.</w:t>
      </w:r>
    </w:p>
    <w:p>
      <w:pPr>
        <w:pStyle w:val="Heading2"/>
        <w:keepNext/>
        <w:keepLines/>
      </w:pPr>
      <w:r>
        <w:rPr>
          <w:color w:val="0066CC"/>
        </w:rPr>
        <w:t>2. Alcance y población objetivo</w:t>
      </w:r>
    </w:p>
    <w:p>
      <w:r>
        <w:t>La encuesta está dirigida a:</w:t>
      </w:r>
    </w:p>
    <w:p>
      <w:pPr>
        <w:pStyle w:val="ListBullet"/>
        <w:keepLines w:val="1"/>
        <w:keepNext w:val="1"/>
        <w:widowControl w:val="1"/>
      </w:pPr>
      <w:r>
        <w:t xml:space="preserve">Organismos y entidades sujetos al ENS (AGE, CCAA, entidades locales, organismos públicos y su sector público instrumental).  </w:t>
      </w:r>
    </w:p>
    <w:p>
      <w:pPr>
        <w:pStyle w:val="ListBullet"/>
        <w:keepLines w:val="1"/>
        <w:keepNext w:val="1"/>
        <w:widowControl w:val="1"/>
      </w:pPr>
      <w:r>
        <w:t xml:space="preserve">Empresas privadas, especialmente aquellas sujetas a NIS2, DORA u otras regulaciones que exigen capacidades de ciberresiliencia e indicadores formales.  </w:t>
      </w:r>
    </w:p>
    <w:p>
      <w:pPr>
        <w:pStyle w:val="ListBullet"/>
        <w:keepLines w:val="1"/>
        <w:widowControl w:val="1"/>
      </w:pPr>
      <w:r>
        <w:t>Proveedores de servicios y operadores de servicios esenciales o infraestructuras críticas, especialmente aquellos que utilizan el modelo IMC de ciberresiliencia.[web:27][web:35][web:12]</w:t>
      </w:r>
    </w:p>
    <w:p>
      <w:r>
        <w:t>El respondente ideal es el CISO o responsable de seguridad de la información; en su defecto, un responsable TIC o de riesgos con visión transversal.</w:t>
      </w:r>
    </w:p>
    <w:p>
      <w:pPr>
        <w:pStyle w:val="Heading2"/>
        <w:keepNext/>
        <w:keepLines/>
      </w:pPr>
      <w:r>
        <w:rPr>
          <w:color w:val="0066CC"/>
        </w:rPr>
        <w:t>3. Estructura general de la encuesta</w:t>
      </w:r>
    </w:p>
    <w:p>
      <w:r>
        <w:t>La encuesta se organiza en diez bloques coherentes con:</w:t>
      </w:r>
    </w:p>
    <w:p>
      <w:pPr>
        <w:pStyle w:val="ListBullet"/>
        <w:keepLines w:val="1"/>
        <w:keepNext w:val="1"/>
        <w:widowControl w:val="1"/>
      </w:pPr>
      <w:r>
        <w:t xml:space="preserve">El ciclo ENS (plan de adecuación, implantación, auditoría e información de estado).[web:19]  </w:t>
      </w:r>
    </w:p>
    <w:p>
      <w:pPr>
        <w:pStyle w:val="ListBullet"/>
        <w:keepLines w:val="1"/>
        <w:keepNext w:val="1"/>
        <w:widowControl w:val="1"/>
      </w:pPr>
      <w:r>
        <w:t xml:space="preserve">El modelo IMC (metas Anticipar, Resistir, Recuperar, Evolucionar).[web:27]  </w:t>
      </w:r>
    </w:p>
    <w:p>
      <w:pPr>
        <w:pStyle w:val="ListBullet"/>
        <w:keepLines w:val="1"/>
        <w:widowControl w:val="1"/>
      </w:pPr>
      <w:r>
        <w:t>Las recomendaciones de marcos internacionales para KPIs/KRIs y Zero Trust.[web:20][web:39]</w:t>
      </w:r>
    </w:p>
    <w:p>
      <w:r>
        <w:t>Cada bloque responde a una pregunta básica:</w:t>
      </w:r>
    </w:p>
    <w:p>
      <w:pPr>
        <w:pStyle w:val="ListNumber"/>
        <w:keepLines w:val="1"/>
        <w:keepNext w:val="1"/>
        <w:widowControl w:val="1"/>
      </w:pPr>
      <w:r>
        <w:t xml:space="preserve">¿Quién es usted y en qué contexto opera? (Información general)  </w:t>
      </w:r>
    </w:p>
    <w:p>
      <w:pPr>
        <w:pStyle w:val="ListNumber"/>
        <w:keepLines w:val="1"/>
        <w:keepNext w:val="1"/>
        <w:widowControl w:val="1"/>
      </w:pPr>
      <w:r>
        <w:t xml:space="preserve">¿Cómo se gobierna la seguridad y la adecuación ENS en su organización? (Gobernanza ENS)  </w:t>
      </w:r>
    </w:p>
    <w:p>
      <w:pPr>
        <w:pStyle w:val="ListNumber"/>
        <w:keepLines w:val="1"/>
        <w:keepNext w:val="1"/>
        <w:widowControl w:val="1"/>
      </w:pPr>
      <w:r>
        <w:t xml:space="preserve">¿Qué papel juegan el riesgo y los indicadores en su ciclo ENS? (Riesgos e indicadores)  </w:t>
      </w:r>
    </w:p>
    <w:p>
      <w:pPr>
        <w:pStyle w:val="ListNumber"/>
        <w:keepLines w:val="1"/>
        <w:keepNext w:val="1"/>
        <w:widowControl w:val="1"/>
      </w:pPr>
      <w:r>
        <w:t xml:space="preserve">¿Qué tan resiliente es, según el prisma IMC? (Ciberresiliencia)  </w:t>
      </w:r>
    </w:p>
    <w:p>
      <w:pPr>
        <w:pStyle w:val="ListNumber"/>
        <w:keepLines w:val="1"/>
        <w:keepNext w:val="1"/>
        <w:widowControl w:val="1"/>
      </w:pPr>
      <w:r>
        <w:t xml:space="preserve">¿Qué tan eficaz es operativamente? (Vulnerabilidades, incidentes, MTTD, MTTR)  </w:t>
      </w:r>
    </w:p>
    <w:p>
      <w:pPr>
        <w:pStyle w:val="ListNumber"/>
        <w:keepLines w:val="1"/>
        <w:keepNext w:val="1"/>
        <w:widowControl w:val="1"/>
      </w:pPr>
      <w:r>
        <w:t xml:space="preserve">¿Avanza hacia Zero Trust o sigue confiando en el perímetro? (Arquitectura)  </w:t>
      </w:r>
    </w:p>
    <w:p>
      <w:pPr>
        <w:pStyle w:val="ListNumber"/>
        <w:keepLines w:val="1"/>
        <w:keepNext w:val="1"/>
        <w:widowControl w:val="1"/>
      </w:pPr>
      <w:r>
        <w:t xml:space="preserve">¿Existe cultura de seguridad o solo carteles motivacionales? (Formación)  </w:t>
      </w:r>
    </w:p>
    <w:p>
      <w:pPr>
        <w:pStyle w:val="ListNumber"/>
        <w:keepLines w:val="1"/>
        <w:keepNext w:val="1"/>
        <w:widowControl w:val="1"/>
      </w:pPr>
      <w:r>
        <w:t xml:space="preserve">¿Puede seguir funcionando cuando todo falla? (Continuidad y recuperación)  </w:t>
      </w:r>
    </w:p>
    <w:p>
      <w:pPr>
        <w:pStyle w:val="ListNumber"/>
        <w:keepLines w:val="1"/>
        <w:keepNext w:val="1"/>
        <w:widowControl w:val="1"/>
      </w:pPr>
      <w:r>
        <w:t xml:space="preserve">¿Entiende el riesgo también en euros y no solo en siglas? (Riesgo, IGM y ROI)  </w:t>
      </w:r>
    </w:p>
    <w:p>
      <w:pPr>
        <w:pStyle w:val="ListNumber"/>
        <w:keepLines w:val="1"/>
        <w:widowControl w:val="1"/>
      </w:pPr>
      <w:r>
        <w:t>¿Cómo percibe, en conciencia, la adecuación de sus indicadores? (Perspectiva del responsable)</w:t>
      </w:r>
    </w:p>
    <w:p>
      <w:pPr>
        <w:pStyle w:val="Heading2"/>
        <w:keepNext/>
        <w:keepLines/>
      </w:pPr>
      <w:r>
        <w:rPr>
          <w:color w:val="0066CC"/>
        </w:rPr>
        <w:t>4. Tipo de preguntas y escalas de respuesta</w:t>
      </w:r>
    </w:p>
    <w:p>
      <w:r>
        <w:t>La encuesta utiliza principalmente:</w:t>
      </w:r>
    </w:p>
    <w:p>
      <w:pPr>
        <w:pStyle w:val="ListNumber"/>
        <w:keepLines w:val="1"/>
        <w:keepNext w:val="1"/>
        <w:widowControl w:val="1"/>
      </w:pPr>
      <w:r>
        <w:t xml:space="preserve">Preguntas cerradas de selección única, para facilitar la codificación estadística y comparabilidad.  </w:t>
      </w:r>
    </w:p>
    <w:p>
      <w:pPr>
        <w:pStyle w:val="ListNumber"/>
        <w:keepLines w:val="1"/>
        <w:keepNext w:val="1"/>
        <w:widowControl w:val="1"/>
      </w:pPr>
      <w:r>
        <w:t xml:space="preserve">Preguntas cerradas de selección múltiple, para captar variedad de prácticas.  </w:t>
      </w:r>
    </w:p>
    <w:p>
      <w:pPr>
        <w:pStyle w:val="ListNumber"/>
        <w:keepLines w:val="1"/>
        <w:widowControl w:val="1"/>
      </w:pPr>
      <w:r>
        <w:t>Preguntas abiertas, usadas con mesura, para recoger matices cualitativos.</w:t>
      </w:r>
    </w:p>
    <w:p>
      <w:r>
        <w:t>Las escalas preferentes son:</w:t>
      </w:r>
    </w:p>
    <w:p>
      <w:pPr>
        <w:pStyle w:val="ListBullet"/>
        <w:keepLines w:val="1"/>
        <w:keepNext w:val="1"/>
        <w:widowControl w:val="1"/>
      </w:pPr>
      <w:r>
        <w:t xml:space="preserve">Porcentajes aproximados (0–25, 26–50, 51–75, 76–95, 96–100) para madurez de despliegues.  </w:t>
      </w:r>
    </w:p>
    <w:p>
      <w:pPr>
        <w:pStyle w:val="ListBullet"/>
        <w:keepLines w:val="1"/>
        <w:keepNext w:val="1"/>
        <w:widowControl w:val="1"/>
      </w:pPr>
      <w:r>
        <w:t xml:space="preserve">Frecuencias (mensual, trimestral, anual, ad hoc) para prácticas de reporting y pruebas.  </w:t>
      </w:r>
    </w:p>
    <w:p>
      <w:pPr>
        <w:pStyle w:val="ListBullet"/>
        <w:keepLines w:val="1"/>
        <w:keepNext w:val="1"/>
        <w:widowControl w:val="1"/>
      </w:pPr>
      <w:r>
        <w:t xml:space="preserve">Intervalos de tiempo (minutos, horas, días, semanas) para MTTD y MTTR.  </w:t>
      </w:r>
    </w:p>
    <w:p>
      <w:pPr>
        <w:pStyle w:val="ListBullet"/>
        <w:keepLines w:val="1"/>
        <w:widowControl w:val="1"/>
      </w:pPr>
      <w:r>
        <w:t>Escalas de 1 a 5 para percepciones subjetivas (adecuación de indicadores, etc.).</w:t>
      </w:r>
    </w:p>
    <w:p>
      <w:r>
        <w:t>Esta combinación permite, por un lado, alimentar análisis cuantitativos (tendencias, correlaciones, comparaciones sectoriales) y, por otro, no perder la riqueza cualitativa que tanto irrita a las hojas de cálculo como ilumina a los comités de dirección.</w:t>
      </w:r>
    </w:p>
    <w:p>
      <w:pPr>
        <w:pStyle w:val="Heading2"/>
        <w:keepNext/>
        <w:keepLines/>
      </w:pPr>
      <w:r>
        <w:rPr>
          <w:color w:val="0066CC"/>
        </w:rPr>
        <w:t>5. Lógica de diseño por bloques</w:t>
      </w:r>
    </w:p>
    <w:p>
      <w:pPr>
        <w:pStyle w:val="Heading3"/>
        <w:keepNext/>
        <w:keepLines/>
      </w:pPr>
      <w:r>
        <w:t>5.1. Gobernanza ENS y adecuación</w:t>
      </w:r>
    </w:p>
    <w:p>
      <w:r>
        <w:t>Este bloque se fundamenta en los requisitos del ENS relativos a política de seguridad, categorización de sistemas, análisis de riesgos, declaración de aplicabilidad y organización de la seguridad.[web:26][web:19] Las preguntas persiguen:</w:t>
      </w:r>
    </w:p>
    <w:p>
      <w:pPr>
        <w:pStyle w:val="ListBullet"/>
        <w:keepLines w:val="1"/>
        <w:keepNext w:val="1"/>
        <w:widowControl w:val="1"/>
      </w:pPr>
      <w:r>
        <w:t xml:space="preserve">Comprobar si la entidad ha realizado los pasos básicos del plan de adecuación.  </w:t>
      </w:r>
    </w:p>
    <w:p>
      <w:pPr>
        <w:pStyle w:val="ListBullet"/>
        <w:keepLines w:val="1"/>
        <w:keepNext w:val="1"/>
        <w:widowControl w:val="1"/>
      </w:pPr>
      <w:r>
        <w:t xml:space="preserve">Medir la cobertura de la categorización y la formalización de la DoA.  </w:t>
      </w:r>
    </w:p>
    <w:p>
      <w:pPr>
        <w:pStyle w:val="ListBullet"/>
        <w:keepLines w:val="1"/>
        <w:widowControl w:val="1"/>
      </w:pPr>
      <w:r>
        <w:t>Identificar el grado de alineamiento entre ENS y la gobernanza real (no sólo nominal).</w:t>
      </w:r>
    </w:p>
    <w:p>
      <w:r>
        <w:t>Interpretación recomendada:</w:t>
      </w:r>
    </w:p>
    <w:p>
      <w:pPr>
        <w:pStyle w:val="ListBullet"/>
        <w:keepLines w:val="1"/>
        <w:keepNext w:val="1"/>
        <w:widowControl w:val="1"/>
      </w:pPr>
      <w:r>
        <w:t xml:space="preserve">Un alto porcentaje de sistemas categorizados y una DoA implantada son indicadores positivos, pero deben contrastarse con bloques posteriores (indicadores y ciberresiliencia).  </w:t>
      </w:r>
    </w:p>
    <w:p>
      <w:pPr>
        <w:pStyle w:val="ListBullet"/>
        <w:keepLines w:val="1"/>
        <w:widowControl w:val="1"/>
      </w:pPr>
      <w:r>
        <w:t>Una respuesta “en elaboración” recurrente sugiere riesgo de “adecuación perpetua” y dificultad para consolidar métricas.</w:t>
      </w:r>
    </w:p>
    <w:p>
      <w:pPr>
        <w:pStyle w:val="Heading3"/>
        <w:keepNext/>
        <w:keepLines/>
      </w:pPr>
      <w:r>
        <w:t>5.2. Riesgos, indicadores y ciclo ENS</w:t>
      </w:r>
    </w:p>
    <w:p>
      <w:r>
        <w:t>El ENS exige informar sobre el estado de seguridad mediante métricas e indicadores, y el CCN ha desarrollado el proyecto INES precisamente para ello.[web:16][web:19] Este bloque explora:</w:t>
      </w:r>
    </w:p>
    <w:p>
      <w:pPr>
        <w:pStyle w:val="ListBullet"/>
        <w:keepLines w:val="1"/>
        <w:keepNext w:val="1"/>
        <w:widowControl w:val="1"/>
      </w:pPr>
      <w:r>
        <w:t xml:space="preserve">Existencia y madurez del cuadro de mando de seguridad.  </w:t>
      </w:r>
    </w:p>
    <w:p>
      <w:pPr>
        <w:pStyle w:val="ListBullet"/>
        <w:keepLines w:val="1"/>
        <w:keepNext w:val="1"/>
        <w:widowControl w:val="1"/>
      </w:pPr>
      <w:r>
        <w:t xml:space="preserve">Frecuencia y alcance de la información a la Alta Dirección.  </w:t>
      </w:r>
    </w:p>
    <w:p>
      <w:pPr>
        <w:pStyle w:val="ListBullet"/>
        <w:keepLines w:val="1"/>
        <w:widowControl w:val="1"/>
      </w:pPr>
      <w:r>
        <w:t>Cobertura temática de los indicadores (cumplimiento, vulnerabilidades, incidentes, etc.).</w:t>
      </w:r>
    </w:p>
    <w:p>
      <w:r>
        <w:t>Interpretación:</w:t>
      </w:r>
    </w:p>
    <w:p>
      <w:pPr>
        <w:pStyle w:val="ListBullet"/>
        <w:keepLines w:val="1"/>
        <w:keepNext w:val="1"/>
        <w:widowControl w:val="1"/>
      </w:pPr>
      <w:r>
        <w:t xml:space="preserve">Ausencia de cuadro de mando o reporting es un síntoma de ENS “cosmético”: controles sin dirección ni priorización.  </w:t>
      </w:r>
    </w:p>
    <w:p>
      <w:pPr>
        <w:pStyle w:val="ListBullet"/>
        <w:keepLines w:val="1"/>
        <w:widowControl w:val="1"/>
      </w:pPr>
      <w:r>
        <w:t>Un cuadro de mando excesivamente técnico puede indicar desconexión con la agenda de riesgos corporativos.</w:t>
      </w:r>
    </w:p>
    <w:p>
      <w:pPr>
        <w:pStyle w:val="Heading3"/>
        <w:keepNext/>
        <w:keepLines/>
      </w:pPr>
      <w:r>
        <w:t>5.3. Ciberresiliencia según IMC</w:t>
      </w:r>
    </w:p>
    <w:p>
      <w:r>
        <w:t>INCIBE, a través del Diccionario de Indicadores para Mejora de la Ciberresiliencia, ha establecido un modelo robusto y reutilizable de indicadores por metas y dominios funcionales.[web:27][web:35] La encuesta analiza:</w:t>
      </w:r>
    </w:p>
    <w:p>
      <w:pPr>
        <w:pStyle w:val="ListBullet"/>
        <w:keepLines w:val="1"/>
        <w:keepNext w:val="1"/>
        <w:widowControl w:val="1"/>
      </w:pPr>
      <w:r>
        <w:t xml:space="preserve">Nivel de conocimiento y uso del modelo IMC.  </w:t>
      </w:r>
    </w:p>
    <w:p>
      <w:pPr>
        <w:pStyle w:val="ListBullet"/>
        <w:keepLines w:val="1"/>
        <w:widowControl w:val="1"/>
      </w:pPr>
      <w:r>
        <w:t xml:space="preserve">Implantación de indicadores por meta (Anticipar, Resistir, Recuperar, Evolucionar).  </w:t>
      </w:r>
    </w:p>
    <w:p>
      <w:r>
        <w:t>Interpretación:</w:t>
      </w:r>
    </w:p>
    <w:p>
      <w:pPr>
        <w:pStyle w:val="ListBullet"/>
        <w:keepLines w:val="1"/>
        <w:keepNext w:val="1"/>
        <w:widowControl w:val="1"/>
      </w:pPr>
      <w:r>
        <w:t xml:space="preserve">Uso explícito del IMC sugiere un enfoque más maduro y alineado con las tendencias europeas en materia de ciberresiliencia.  </w:t>
      </w:r>
    </w:p>
    <w:p>
      <w:pPr>
        <w:pStyle w:val="ListBullet"/>
        <w:keepLines w:val="1"/>
        <w:widowControl w:val="1"/>
      </w:pPr>
      <w:r>
        <w:t>Fuerte asimetría entre metas (por ejemplo, mucha protección, poca recuperación) anticipa déficit en continuidad y pruebas.</w:t>
      </w:r>
    </w:p>
    <w:p>
      <w:pPr>
        <w:pStyle w:val="Heading3"/>
        <w:keepNext/>
        <w:keepLines/>
      </w:pPr>
      <w:r>
        <w:t>5.4. Eficacia operativa (KPIs/KRIs)</w:t>
      </w:r>
    </w:p>
    <w:p>
      <w:r>
        <w:t>Este bloque se inspira tanto en prácticas internacionales como en propuestas de marcos estandarizados de indicadores para CISOs, que subrayan la importancia de KPIs y KRIs estratégicamente relevantes, medibles y comparables.[web:20][web:12] Se centra en:</w:t>
      </w:r>
    </w:p>
    <w:p>
      <w:pPr>
        <w:pStyle w:val="ListBullet"/>
        <w:keepLines w:val="1"/>
        <w:keepNext w:val="1"/>
        <w:widowControl w:val="1"/>
      </w:pPr>
      <w:r>
        <w:t xml:space="preserve">Gestión de vulnerabilidades (número, criticidad, tiempos de parcheado).  </w:t>
      </w:r>
    </w:p>
    <w:p>
      <w:pPr>
        <w:pStyle w:val="ListBullet"/>
        <w:keepLines w:val="1"/>
        <w:keepNext w:val="1"/>
        <w:widowControl w:val="1"/>
      </w:pPr>
      <w:r>
        <w:t xml:space="preserve">Medición de MTTD y MTTR.  </w:t>
      </w:r>
    </w:p>
    <w:p>
      <w:pPr>
        <w:pStyle w:val="ListBullet"/>
        <w:keepLines w:val="1"/>
        <w:widowControl w:val="1"/>
      </w:pPr>
      <w:r>
        <w:t>Registro y análisis de incidentes y sus impactos.</w:t>
      </w:r>
    </w:p>
    <w:p>
      <w:r>
        <w:t>Interpretación:</w:t>
      </w:r>
    </w:p>
    <w:p>
      <w:pPr>
        <w:pStyle w:val="ListBullet"/>
        <w:keepLines w:val="1"/>
        <w:keepNext w:val="1"/>
        <w:widowControl w:val="1"/>
      </w:pPr>
      <w:r>
        <w:t xml:space="preserve">Ausencia de MTTD/MTTR medidos indica que la organización “sufre” incidentes, pero no los estudia.  </w:t>
      </w:r>
    </w:p>
    <w:p>
      <w:pPr>
        <w:pStyle w:val="ListBullet"/>
        <w:keepLines w:val="1"/>
        <w:widowControl w:val="1"/>
      </w:pPr>
      <w:r>
        <w:t>La no estimación de impactos dificulta hablar seriamente de ROI y priorización de inversiones.</w:t>
      </w:r>
    </w:p>
    <w:p>
      <w:pPr>
        <w:pStyle w:val="Heading3"/>
        <w:keepNext/>
        <w:keepLines/>
      </w:pPr>
      <w:r>
        <w:t>5.5. Zero Trust y arquitectura</w:t>
      </w:r>
    </w:p>
    <w:p>
      <w:r>
        <w:t>Las guías y artículos sobre Zero Trust del NIST, de la industria y de organismos como INCIBE destacan la necesidad de pasar de perímetros a modelos centrados en identidad, contexto y verificación continua.[web:6][web:14][web:10] Este bloque pregunta:</w:t>
      </w:r>
    </w:p>
    <w:p>
      <w:pPr>
        <w:pStyle w:val="ListBullet"/>
        <w:keepLines w:val="1"/>
        <w:keepNext w:val="1"/>
        <w:widowControl w:val="1"/>
      </w:pPr>
      <w:r>
        <w:t xml:space="preserve">Si existe estrategia explícita de Zero Trust.  </w:t>
      </w:r>
    </w:p>
    <w:p>
      <w:pPr>
        <w:pStyle w:val="ListBullet"/>
        <w:keepLines w:val="1"/>
        <w:keepNext w:val="1"/>
        <w:widowControl w:val="1"/>
      </w:pPr>
      <w:r>
        <w:t xml:space="preserve">Qué elementos concretos están ya implantados.  </w:t>
      </w:r>
    </w:p>
    <w:p>
      <w:pPr>
        <w:pStyle w:val="ListBullet"/>
        <w:keepLines w:val="1"/>
        <w:widowControl w:val="1"/>
      </w:pPr>
      <w:r>
        <w:t>Si se miden esos avances como indicadores.</w:t>
      </w:r>
    </w:p>
    <w:p>
      <w:r>
        <w:t>Interpretación:</w:t>
      </w:r>
    </w:p>
    <w:p>
      <w:pPr>
        <w:pStyle w:val="ListBullet"/>
        <w:keepLines w:val="1"/>
        <w:keepNext w:val="1"/>
        <w:widowControl w:val="1"/>
      </w:pPr>
      <w:r>
        <w:t xml:space="preserve">Adoptar MFA aislada no convierte a nadie en Zero Trust, pero al menos indica cierta orientación.  </w:t>
      </w:r>
    </w:p>
    <w:p>
      <w:pPr>
        <w:pStyle w:val="ListBullet"/>
        <w:keepLines w:val="1"/>
        <w:widowControl w:val="1"/>
      </w:pPr>
      <w:r>
        <w:t>Indicadores de porcentaje de recursos protegidos o de accesos verificados son una señal clara de madurez arquitectónica.</w:t>
      </w:r>
    </w:p>
    <w:p>
      <w:pPr>
        <w:pStyle w:val="Heading3"/>
        <w:keepNext/>
        <w:keepLines/>
      </w:pPr>
      <w:r>
        <w:t>5.6. Formación, cultura y comportamiento</w:t>
      </w:r>
    </w:p>
    <w:p>
      <w:r>
        <w:t>La formación y concienciación, aunque a menudo relegadas a la categoría de “actividades simpáticas”, son un componente esencial de la ciberresiliencia. El bloque explora:</w:t>
      </w:r>
    </w:p>
    <w:p>
      <w:pPr>
        <w:pStyle w:val="ListBullet"/>
        <w:keepLines w:val="1"/>
        <w:keepNext w:val="1"/>
        <w:widowControl w:val="1"/>
      </w:pPr>
      <w:r>
        <w:t xml:space="preserve">Existencia de un plan formal de formación.  </w:t>
      </w:r>
    </w:p>
    <w:p>
      <w:pPr>
        <w:pStyle w:val="ListBullet"/>
        <w:keepLines w:val="1"/>
        <w:keepNext w:val="1"/>
        <w:widowControl w:val="1"/>
      </w:pPr>
      <w:r>
        <w:t xml:space="preserve">Registro de participación y resultados.  </w:t>
      </w:r>
    </w:p>
    <w:p>
      <w:pPr>
        <w:pStyle w:val="ListBullet"/>
        <w:keepLines w:val="1"/>
        <w:widowControl w:val="1"/>
      </w:pPr>
      <w:r>
        <w:t>Uso de pruebas de comportamiento (p. ej. phishing simulado).</w:t>
      </w:r>
    </w:p>
    <w:p>
      <w:r>
        <w:t>Interpretación:</w:t>
      </w:r>
    </w:p>
    <w:p>
      <w:pPr>
        <w:pStyle w:val="ListBullet"/>
        <w:keepLines w:val="1"/>
        <w:keepNext w:val="1"/>
        <w:widowControl w:val="1"/>
      </w:pPr>
      <w:r>
        <w:t xml:space="preserve">La ausencia completa de indicadores de formación sugiere que la organización confía más en la suerte que en la educación.  </w:t>
      </w:r>
    </w:p>
    <w:p>
      <w:pPr>
        <w:pStyle w:val="ListBullet"/>
        <w:keepLines w:val="1"/>
        <w:widowControl w:val="1"/>
      </w:pPr>
      <w:r>
        <w:t>Un programa maduro vincula resultados de formación con reducción de incidentes humanos.</w:t>
      </w:r>
    </w:p>
    <w:p>
      <w:pPr>
        <w:pStyle w:val="Heading3"/>
        <w:keepNext/>
        <w:keepLines/>
      </w:pPr>
      <w:r>
        <w:t>5.7. Continuidad y recuperación</w:t>
      </w:r>
    </w:p>
    <w:p>
      <w:r>
        <w:t>Las estrategias sectoriales de ciberseguridad, especialmente en ámbitos como sanidad, insisten en la continuidad de servicios esenciales frente a incidentes de ciberseguridad.[web:30] Este bloque examina:</w:t>
      </w:r>
    </w:p>
    <w:p>
      <w:pPr>
        <w:pStyle w:val="ListBullet"/>
        <w:keepLines w:val="1"/>
        <w:keepNext w:val="1"/>
        <w:widowControl w:val="1"/>
      </w:pPr>
      <w:r>
        <w:t xml:space="preserve">Existencia y alcance de BCP/DRP.  </w:t>
      </w:r>
    </w:p>
    <w:p>
      <w:pPr>
        <w:pStyle w:val="ListBullet"/>
        <w:keepLines w:val="1"/>
        <w:keepNext w:val="1"/>
        <w:widowControl w:val="1"/>
      </w:pPr>
      <w:r>
        <w:t xml:space="preserve">Periodicidad de pruebas.  </w:t>
      </w:r>
    </w:p>
    <w:p>
      <w:pPr>
        <w:pStyle w:val="ListBullet"/>
        <w:keepLines w:val="1"/>
        <w:widowControl w:val="1"/>
      </w:pPr>
      <w:r>
        <w:t>Medición de resultados (RTO/RPO reales vs. objetivos).</w:t>
      </w:r>
    </w:p>
    <w:p>
      <w:r>
        <w:t>Interpretación:</w:t>
      </w:r>
    </w:p>
    <w:p>
      <w:pPr>
        <w:pStyle w:val="ListBullet"/>
        <w:keepLines w:val="1"/>
        <w:keepNext w:val="1"/>
        <w:widowControl w:val="1"/>
      </w:pPr>
      <w:r>
        <w:t xml:space="preserve">Planes no probados son literatura.  </w:t>
      </w:r>
    </w:p>
    <w:p>
      <w:pPr>
        <w:pStyle w:val="ListBullet"/>
        <w:keepLines w:val="1"/>
        <w:widowControl w:val="1"/>
      </w:pPr>
      <w:r>
        <w:t>La medición sistemática de desviaciones tras pruebas es un indicador potente de madurez.</w:t>
      </w:r>
    </w:p>
    <w:p>
      <w:pPr>
        <w:pStyle w:val="Heading3"/>
        <w:keepNext/>
        <w:keepLines/>
      </w:pPr>
      <w:r>
        <w:t>5.8. Riesgo, IGM y ROI</w:t>
      </w:r>
    </w:p>
    <w:p>
      <w:r>
        <w:t>Por último, el bloque económico conecta con la tendencia internacional a tratar el riesgo cibernético como riesgo empresarial, con informes como el Global Cybersecurity Outlook señalando impactos económicos y geopolíticos crecientes.[web:11][web:12] La encuesta se interesa por:</w:t>
      </w:r>
    </w:p>
    <w:p>
      <w:pPr>
        <w:pStyle w:val="ListBullet"/>
        <w:keepLines w:val="1"/>
        <w:keepNext w:val="1"/>
        <w:widowControl w:val="1"/>
      </w:pPr>
      <w:r>
        <w:t xml:space="preserve">Cuantificación del riesgo en términos económicos.  </w:t>
      </w:r>
    </w:p>
    <w:p>
      <w:pPr>
        <w:pStyle w:val="ListBullet"/>
        <w:keepLines w:val="1"/>
        <w:keepNext w:val="1"/>
        <w:widowControl w:val="1"/>
      </w:pPr>
      <w:r>
        <w:t xml:space="preserve">Presencia de ciberseguros.  </w:t>
      </w:r>
    </w:p>
    <w:p>
      <w:pPr>
        <w:pStyle w:val="ListBullet"/>
        <w:keepLines w:val="1"/>
        <w:widowControl w:val="1"/>
      </w:pPr>
      <w:r>
        <w:t>Cálculo de índices de madurez global (IGM) y ROI.</w:t>
      </w:r>
    </w:p>
    <w:p>
      <w:r>
        <w:t>Interpretación:</w:t>
      </w:r>
    </w:p>
    <w:p>
      <w:pPr>
        <w:pStyle w:val="ListBullet"/>
        <w:keepLines w:val="1"/>
        <w:keepNext w:val="1"/>
        <w:widowControl w:val="1"/>
      </w:pPr>
      <w:r>
        <w:t xml:space="preserve">La falta de cuantificación económica limita seriamente la conversación con la Alta Dirección.  </w:t>
      </w:r>
    </w:p>
    <w:p>
      <w:pPr>
        <w:pStyle w:val="ListBullet"/>
        <w:keepLines w:val="1"/>
        <w:widowControl w:val="1"/>
      </w:pPr>
      <w:r>
        <w:t>La existencia de un índice de madurez global permite integrar múltiples indicadores y facilitar comparaciones en el tiempo y entre unidades.</w:t>
      </w:r>
    </w:p>
    <w:p>
      <w:pPr>
        <w:pStyle w:val="Heading2"/>
        <w:keepNext/>
        <w:keepLines/>
      </w:pPr>
      <w:r>
        <w:rPr>
          <w:color w:val="0066CC"/>
        </w:rPr>
        <w:t>6. Administración de la encuesta</w:t>
      </w:r>
    </w:p>
    <w:p>
      <w:pPr>
        <w:pStyle w:val="Heading3"/>
        <w:keepNext/>
        <w:keepLines/>
      </w:pPr>
      <w:r>
        <w:t>6.1. Modalidad</w:t>
      </w:r>
    </w:p>
    <w:p>
      <w:r>
        <w:t>Se recomienda administración en línea (formulario web o herramienta de encuestas) con las siguientes condiciones:</w:t>
      </w:r>
    </w:p>
    <w:p>
      <w:pPr>
        <w:pStyle w:val="ListBullet"/>
        <w:keepLines w:val="1"/>
        <w:keepNext w:val="1"/>
        <w:widowControl w:val="1"/>
      </w:pPr>
      <w:r>
        <w:t xml:space="preserve">Invitación nominativa a responsables de seguridad y equivalentes.  </w:t>
      </w:r>
    </w:p>
    <w:p>
      <w:pPr>
        <w:pStyle w:val="ListBullet"/>
        <w:keepLines w:val="1"/>
        <w:keepNext w:val="1"/>
        <w:widowControl w:val="1"/>
      </w:pPr>
      <w:r>
        <w:t xml:space="preserve">Posibilidad de guardar y continuar más tarde (la encuesta es detallada).  </w:t>
      </w:r>
    </w:p>
    <w:p>
      <w:pPr>
        <w:pStyle w:val="ListBullet"/>
        <w:keepLines w:val="1"/>
        <w:widowControl w:val="1"/>
      </w:pPr>
      <w:r>
        <w:t>Posibilidad de adjuntar documentación complementaria si se desea.</w:t>
      </w:r>
    </w:p>
    <w:p>
      <w:pPr>
        <w:pStyle w:val="Heading3"/>
        <w:keepNext/>
        <w:keepLines/>
      </w:pPr>
      <w:r>
        <w:t>6.2. Tiempo estimado</w:t>
      </w:r>
    </w:p>
    <w:p>
      <w:r>
        <w:t>Dependiendo del nivel de madurez y del acceso a la información, el tiempo estimado oscila entre 30 y 60 minutos. Si la organización tarda mucho más, es una señal indirecta de que la información no está centralizada… lo cual, por cierto, también es un resultado interesante.</w:t>
      </w:r>
    </w:p>
    <w:p>
      <w:pPr>
        <w:pStyle w:val="Heading3"/>
        <w:keepNext/>
        <w:keepLines/>
      </w:pPr>
      <w:r>
        <w:t>6.3. Confidencialidad y uso de datos</w:t>
      </w:r>
    </w:p>
    <w:p>
      <w:r>
        <w:t>Los resultados deben tratarse como información sensible. Se recomienda:</w:t>
      </w:r>
    </w:p>
    <w:p>
      <w:pPr>
        <w:pStyle w:val="ListBullet"/>
        <w:keepLines w:val="1"/>
        <w:keepNext w:val="1"/>
        <w:widowControl w:val="1"/>
      </w:pPr>
      <w:r>
        <w:t xml:space="preserve">Anonimizar los resultados en informes agregados.  </w:t>
      </w:r>
    </w:p>
    <w:p>
      <w:pPr>
        <w:pStyle w:val="ListBullet"/>
        <w:keepLines w:val="1"/>
        <w:keepNext w:val="1"/>
        <w:widowControl w:val="1"/>
      </w:pPr>
      <w:r>
        <w:t xml:space="preserve">Evitar publicar datos identificables de organizaciones individuales sin su consentimiento.  </w:t>
      </w:r>
    </w:p>
    <w:p>
      <w:pPr>
        <w:pStyle w:val="ListBullet"/>
        <w:keepLines w:val="1"/>
        <w:widowControl w:val="1"/>
      </w:pPr>
      <w:r>
        <w:t>Utilizar los resultados primariamente para diagnóstico y planificación de mejoras, no para exhibiciones públicas.</w:t>
      </w:r>
    </w:p>
    <w:p>
      <w:pPr>
        <w:pStyle w:val="Heading2"/>
        <w:keepNext/>
        <w:keepLines/>
      </w:pPr>
      <w:r>
        <w:rPr>
          <w:color w:val="0066CC"/>
        </w:rPr>
        <w:t>7. Tratamiento y análisis de resultados</w:t>
      </w:r>
    </w:p>
    <w:p>
      <w:r>
        <w:t>Una vez recopiladas las respuestas:</w:t>
      </w:r>
    </w:p>
    <w:p>
      <w:pPr>
        <w:pStyle w:val="ListNumber"/>
        <w:keepLines w:val="1"/>
        <w:keepNext w:val="1"/>
        <w:widowControl w:val="1"/>
      </w:pPr>
      <w:r>
        <w:t xml:space="preserve">Codificación: asignar valores numéricos a las opciones de respuesta (p. ej. 1–5 para niveles de madurez).  </w:t>
      </w:r>
    </w:p>
    <w:p>
      <w:pPr>
        <w:pStyle w:val="ListNumber"/>
        <w:keepLines w:val="1"/>
        <w:keepNext w:val="1"/>
        <w:widowControl w:val="1"/>
      </w:pPr>
      <w:r>
        <w:t xml:space="preserve">Cálculo de indicadores derivados: generar índices parciales por bloque (gobernanza, ciberresiliencia, arquitectura, etc.).  </w:t>
      </w:r>
    </w:p>
    <w:p>
      <w:pPr>
        <w:pStyle w:val="ListNumber"/>
        <w:keepLines w:val="1"/>
        <w:keepNext w:val="1"/>
        <w:widowControl w:val="1"/>
      </w:pPr>
      <w:r>
        <w:t xml:space="preserve">Construcción de un IGM (Índice Global de Madurez): agregando bloques con ponderaciones razonables (ver plantilla en el documento (e)).  </w:t>
      </w:r>
    </w:p>
    <w:p>
      <w:pPr>
        <w:pStyle w:val="ListNumber"/>
        <w:keepLines w:val="1"/>
        <w:keepNext w:val="1"/>
        <w:widowControl w:val="1"/>
      </w:pPr>
      <w:r>
        <w:t xml:space="preserve">Análisis comparativo: por sector, tamaño, ámbito público/privado, etc.  </w:t>
      </w:r>
    </w:p>
    <w:p>
      <w:pPr>
        <w:pStyle w:val="ListNumber"/>
        <w:keepLines w:val="1"/>
        <w:widowControl w:val="1"/>
      </w:pPr>
      <w:r>
        <w:t>Identificación de patrones: correlaciones entre, por ejemplo, existencia de IMC y tiempos de respuesta, o entre Zero Trust y reducción de incidentes.</w:t>
      </w:r>
    </w:p>
    <w:p>
      <w:r>
        <w:t>El objetivo es pasar de un conjunto de respuestas aisladas a una narrativa de país: en qué somos fuertes, dónde somos estructuralmente débiles, y qué reformas o inversiones deben priorizarse.</w:t>
      </w:r>
    </w:p>
    <w:p>
      <w:pPr>
        <w:pStyle w:val="Heading2"/>
        <w:keepNext/>
        <w:keepLines/>
      </w:pPr>
      <w:r>
        <w:rPr>
          <w:color w:val="0066CC"/>
        </w:rPr>
        <w:t>8. Limitaciones y precauciones</w:t>
      </w:r>
    </w:p>
    <w:p>
      <w:pPr>
        <w:pStyle w:val="ListBullet"/>
        <w:keepLines w:val="1"/>
        <w:keepNext w:val="1"/>
        <w:widowControl w:val="1"/>
      </w:pPr>
      <w:r>
        <w:t xml:space="preserve">Autorreporte: la encuesta se basa en la declaración de los responsables, con el riesgo de sesgo optimista o defensivo. Se recomienda contrastar resultados con auditorías y evidencias objetivas.  </w:t>
      </w:r>
    </w:p>
    <w:p>
      <w:pPr>
        <w:pStyle w:val="ListBullet"/>
        <w:keepLines w:val="1"/>
        <w:keepNext w:val="1"/>
        <w:widowControl w:val="1"/>
      </w:pPr>
      <w:r>
        <w:t xml:space="preserve">Heterogeneidad: organizaciones de tamaños y sectores muy distintos tendrán realidades difícilmente comparables; la solución es agrupar por tipologías, no forzar comparaciones injustas.  </w:t>
      </w:r>
    </w:p>
    <w:p>
      <w:pPr>
        <w:pStyle w:val="ListBullet"/>
        <w:keepLines w:val="1"/>
        <w:widowControl w:val="1"/>
      </w:pPr>
      <w:r>
        <w:t>Evolución normativa: ENS, NIS2, DORA y otros marcos evolucionan; la encuesta debe revisarse periódicamente para seguir siendo relevante.[web:26][web:12]</w:t>
      </w:r>
    </w:p>
    <w:p>
      <w:pPr>
        <w:pStyle w:val="Heading2"/>
        <w:keepNext/>
        <w:keepLines/>
      </w:pPr>
      <w:r>
        <w:rPr>
          <w:color w:val="0066CC"/>
        </w:rPr>
        <w:t>9. Conclusión</w:t>
      </w:r>
    </w:p>
    <w:p>
      <w:r>
        <w:t>Medir no es una manía estadística, sino una forma de respeto a la realidad. La encuesta MARGA‑ENS aspira a convertir la intuición en evidencia, la queja en mejora y el “creemos que vamos bien” en “sabemos dónde estamos”. El resto es cuestión de voluntad… y de presupuestos, por supuesto.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