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(b) MATRIZ DE EVALUACIÓN PRAGMATIC COMPLETA (MARGA‑ENS)</w:t>
      </w:r>
    </w:p>
    <w:p>
      <w:r>
        <w:t>Nota: Escala 0–3 por criterio: 0 = no cumple, 1 = bajo, 2 = moderado, 3 = alto.</w:t>
      </w:r>
      <w:r/>
      <w:r>
        <w:br/>
        <w:t>Las puntuaciones son orientativas y deben revisarse en cada organización.</w:t>
      </w:r>
    </w:p>
    <w:p>
      <w:pPr>
        <w:pStyle w:val="Heading2"/>
        <w:keepNext/>
        <w:keepLines/>
      </w:pPr>
      <w:r>
        <w:rPr>
          <w:color w:val="0066CC"/>
        </w:rPr>
        <w:t>1. Leyenda de métricas principales (MARGA‑ENS)</w:t>
      </w:r>
    </w:p>
    <w:p>
      <w:pPr>
        <w:pStyle w:val="ListBullet"/>
        <w:keepLines w:val="1"/>
        <w:keepNext w:val="1"/>
        <w:widowControl w:val="1"/>
      </w:pPr>
      <w:r>
        <w:t xml:space="preserve">M1.1.a – % sistemas críticos categorizados ENS  </w:t>
      </w:r>
    </w:p>
    <w:p>
      <w:pPr>
        <w:pStyle w:val="ListBullet"/>
        <w:keepLines w:val="1"/>
        <w:keepNext w:val="1"/>
        <w:widowControl w:val="1"/>
      </w:pPr>
      <w:r>
        <w:t xml:space="preserve">M1.2.a – Estado de la DoA ENS  </w:t>
      </w:r>
    </w:p>
    <w:p>
      <w:pPr>
        <w:pStyle w:val="ListBullet"/>
        <w:keepLines w:val="1"/>
        <w:keepNext w:val="1"/>
        <w:widowControl w:val="1"/>
      </w:pPr>
      <w:r>
        <w:t xml:space="preserve">M1.3.a – % medidas ENS implantadas  </w:t>
      </w:r>
    </w:p>
    <w:p>
      <w:pPr>
        <w:pStyle w:val="ListBullet"/>
        <w:keepLines w:val="1"/>
        <w:keepNext w:val="1"/>
        <w:widowControl w:val="1"/>
      </w:pPr>
      <w:r>
        <w:t xml:space="preserve">M2.1.a – Nivel de adopción IMC  </w:t>
      </w:r>
    </w:p>
    <w:p>
      <w:pPr>
        <w:pStyle w:val="ListBullet"/>
        <w:keepLines w:val="1"/>
        <w:keepNext w:val="1"/>
        <w:widowControl w:val="1"/>
      </w:pPr>
      <w:r>
        <w:t xml:space="preserve">M2.2.a – Índice madurez IMC‑Anticipar  </w:t>
      </w:r>
    </w:p>
    <w:p>
      <w:pPr>
        <w:pStyle w:val="ListBullet"/>
        <w:keepLines w:val="1"/>
        <w:keepNext w:val="1"/>
        <w:widowControl w:val="1"/>
      </w:pPr>
      <w:r>
        <w:t xml:space="preserve">M2.3.a – % servicios con pruebas de recuperación dentro de RTO  </w:t>
      </w:r>
    </w:p>
    <w:p>
      <w:pPr>
        <w:pStyle w:val="ListBullet"/>
        <w:keepLines w:val="1"/>
        <w:keepNext w:val="1"/>
        <w:widowControl w:val="1"/>
      </w:pPr>
      <w:r>
        <w:t xml:space="preserve">M3.1.a – MTTD medio  </w:t>
      </w:r>
    </w:p>
    <w:p>
      <w:pPr>
        <w:pStyle w:val="ListBullet"/>
        <w:keepLines w:val="1"/>
        <w:keepNext w:val="1"/>
        <w:widowControl w:val="1"/>
      </w:pPr>
      <w:r>
        <w:t xml:space="preserve">M3.2.a – MTTR medio  </w:t>
      </w:r>
    </w:p>
    <w:p>
      <w:pPr>
        <w:pStyle w:val="ListBullet"/>
        <w:keepLines w:val="1"/>
        <w:keepNext w:val="1"/>
        <w:widowControl w:val="1"/>
      </w:pPr>
      <w:r>
        <w:t xml:space="preserve">M3.3.a – Tiempo medio parcheado vulnerabilidades críticas  </w:t>
      </w:r>
    </w:p>
    <w:p>
      <w:pPr>
        <w:pStyle w:val="ListBullet"/>
        <w:keepLines w:val="1"/>
        <w:keepNext w:val="1"/>
        <w:widowControl w:val="1"/>
      </w:pPr>
      <w:r>
        <w:t xml:space="preserve">M3.3.b – % vulnerabilidades críticas resueltas dentro de SLA  </w:t>
      </w:r>
    </w:p>
    <w:p>
      <w:pPr>
        <w:pStyle w:val="ListBullet"/>
        <w:keepLines w:val="1"/>
        <w:keepNext w:val="1"/>
        <w:widowControl w:val="1"/>
      </w:pPr>
      <w:r>
        <w:t xml:space="preserve">M4.1.a – % recursos críticos protegidos con MFA  </w:t>
      </w:r>
    </w:p>
    <w:p>
      <w:pPr>
        <w:pStyle w:val="ListBullet"/>
        <w:keepLines w:val="1"/>
        <w:keepNext w:val="1"/>
        <w:widowControl w:val="1"/>
      </w:pPr>
      <w:r>
        <w:t xml:space="preserve">M4.2.a – % segmentos con registros completos y analizados  </w:t>
      </w:r>
    </w:p>
    <w:p>
      <w:pPr>
        <w:pStyle w:val="ListBullet"/>
        <w:keepLines w:val="1"/>
        <w:keepNext w:val="1"/>
        <w:widowControl w:val="1"/>
      </w:pPr>
      <w:r>
        <w:t xml:space="preserve">M5.1.a – % personal con formación anual cumplida  </w:t>
      </w:r>
    </w:p>
    <w:p>
      <w:pPr>
        <w:pStyle w:val="ListBullet"/>
        <w:keepLines w:val="1"/>
        <w:keepNext w:val="1"/>
        <w:widowControl w:val="1"/>
      </w:pPr>
      <w:r>
        <w:t xml:space="preserve">M5.2.a – Frecuencia de pruebas BCP/DRP  </w:t>
      </w:r>
    </w:p>
    <w:p>
      <w:pPr>
        <w:pStyle w:val="ListBullet"/>
        <w:keepLines w:val="1"/>
        <w:keepNext w:val="1"/>
        <w:widowControl w:val="1"/>
      </w:pPr>
      <w:r>
        <w:t xml:space="preserve">M5.2.b – % pruebas BCP/DRP exitosas en RTO/RPO  </w:t>
      </w:r>
    </w:p>
    <w:p>
      <w:pPr>
        <w:pStyle w:val="ListBullet"/>
        <w:keepLines w:val="1"/>
        <w:keepNext w:val="1"/>
        <w:widowControl w:val="1"/>
      </w:pPr>
      <w:r>
        <w:t xml:space="preserve">M6.1.a – Pérdida anual esperada (€)  </w:t>
      </w:r>
    </w:p>
    <w:p>
      <w:pPr>
        <w:pStyle w:val="ListBullet"/>
        <w:keepLines w:val="1"/>
        <w:keepNext w:val="1"/>
        <w:widowControl w:val="1"/>
      </w:pPr>
      <w:r>
        <w:t xml:space="preserve">M6.2.a – % presupuesto TI dedicado a ciberseguridad  </w:t>
      </w:r>
    </w:p>
    <w:p>
      <w:pPr>
        <w:pStyle w:val="ListBullet"/>
        <w:keepLines w:val="1"/>
        <w:widowControl w:val="1"/>
      </w:pPr>
      <w:r>
        <w:t>M6.3.a – ROI estimado de ciberseguridad</w:t>
      </w:r>
    </w:p>
    <w:p>
      <w:pPr>
        <w:pStyle w:val="Heading2"/>
        <w:keepNext/>
        <w:keepLines/>
      </w:pPr>
      <w:r>
        <w:rPr>
          <w:color w:val="0066CC"/>
        </w:rPr>
        <w:t>2. Matriz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A(c)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M1.1.a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sistemas críticos categorizados ENS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23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M1.2.a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Estado de la DoA ENS (0–3)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22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M1.3.a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medidas ENS implantadas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22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M2.1.a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Nivel adopción IMC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21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M2.2.a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Índice madurez IMC‑Anticipar (0–100)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20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M2.3.a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servicios con pruebas de recuperación en RTO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22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M3.1.a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MTTD medio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23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M3.2.a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MTTR medio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23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M3.3.a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Tiempo parcheado vulnerabilidades críticas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22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M3.3.b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vulnerabilidades críticas en SLA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22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M4.1.a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recursos críticos protegidos con MFA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22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M4.2.a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segmentos con registros completos y analizados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21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M5.1.a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personal con formación anual cumplida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21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M5.2.a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Frecuencia pruebas BCP/DRP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20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M5.2.b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pruebas BCP/DRP exitosas en RTO/RPO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22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M6.1.a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Pérdida anual esperada (€)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18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M6.2.a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presupuesto TI dedicado a ciberseguridad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19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M6.3.a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ROI estimado de ciberseguridad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18</w:t>
            </w:r>
          </w:p>
        </w:tc>
      </w:tr>
    </w:tbl>
    <w:p/>
    <w:p>
      <w:r>
        <w:rPr>
          <w:i/>
        </w:rPr>
        <w:t>(A(c) se refiere a Accurate/Preciso)</w:t>
      </w:r>
    </w:p>
    <w:p>
      <w:pPr>
        <w:pStyle w:val="Heading2"/>
        <w:keepNext/>
        <w:keepLines/>
      </w:pPr>
      <w:r>
        <w:rPr>
          <w:color w:val="0066CC"/>
        </w:rPr>
        <w:t>3. Interpretación por criterio</w:t>
      </w:r>
    </w:p>
    <w:p>
      <w:pPr>
        <w:pStyle w:val="ListBullet"/>
        <w:keepLines w:val="1"/>
        <w:keepNext w:val="1"/>
        <w:widowControl w:val="1"/>
      </w:pPr>
      <w:r>
        <w:t xml:space="preserve">Predictiva (P): métricas como MTTD, MTTR y pruebas de recuperación tienen alto potencial predictivo (3), pues anticipan la capacidad futura de contener impactos.[web:54][web:33]  </w:t>
      </w:r>
    </w:p>
    <w:p>
      <w:pPr>
        <w:pStyle w:val="ListBullet"/>
        <w:keepLines w:val="1"/>
        <w:keepNext w:val="1"/>
        <w:widowControl w:val="1"/>
      </w:pPr>
      <w:r>
        <w:t xml:space="preserve">Relevante (R): todas las métricas seleccionadas son altamente relevantes (2–3) para metas ENS/IMC y requisitos europeos.[web:26][web:49][web:52]  </w:t>
      </w:r>
    </w:p>
    <w:p>
      <w:pPr>
        <w:pStyle w:val="ListBullet"/>
        <w:keepLines w:val="1"/>
        <w:keepNext w:val="1"/>
        <w:widowControl w:val="1"/>
      </w:pPr>
      <w:r>
        <w:t xml:space="preserve">Accionable (A): las métricas operativas (M3., M4., M5.*) son directamente accionables: permiten decidir inversiones, priorizar parches y planificar ejercicios.[web:49][web:33]  </w:t>
      </w:r>
    </w:p>
    <w:p>
      <w:pPr>
        <w:pStyle w:val="ListBullet"/>
        <w:keepLines w:val="1"/>
        <w:keepNext w:val="1"/>
        <w:widowControl w:val="1"/>
      </w:pPr>
      <w:r>
        <w:t xml:space="preserve">Genuina (G): algunas métricas económicas (M6.1.a, M6.3.a) pueden basarse en estimaciones más frágiles (1–2), a diferencia de métricas técnicas basadas en registros.  </w:t>
      </w:r>
    </w:p>
    <w:p>
      <w:pPr>
        <w:pStyle w:val="ListBullet"/>
        <w:keepLines w:val="1"/>
        <w:keepNext w:val="1"/>
        <w:widowControl w:val="1"/>
      </w:pPr>
      <w:r>
        <w:t xml:space="preserve">Significativa (M): todas son fácilmente interpretables por gestores de seguridad y dirección.  </w:t>
      </w:r>
    </w:p>
    <w:p>
      <w:pPr>
        <w:pStyle w:val="ListBullet"/>
        <w:keepLines w:val="1"/>
        <w:keepNext w:val="1"/>
        <w:widowControl w:val="1"/>
      </w:pPr>
      <w:r>
        <w:t xml:space="preserve">Precisa (A(c)): la precisión depende del rigor de los procesos de captura; se puntúa 1–2 para métricas económicas y 2 para la mayoría de métricas técnicas.  </w:t>
      </w:r>
    </w:p>
    <w:p>
      <w:pPr>
        <w:pStyle w:val="ListBullet"/>
        <w:keepLines w:val="1"/>
        <w:keepNext w:val="1"/>
        <w:widowControl w:val="1"/>
      </w:pPr>
      <w:r>
        <w:t xml:space="preserve">Oportuna (T): si se actualizan al menos trimestralmente, las métricas alcanzan puntuaciones de 2; la organización puede aspirar a 3 con ciclos mensuales.  </w:t>
      </w:r>
    </w:p>
    <w:p>
      <w:pPr>
        <w:pStyle w:val="ListBullet"/>
        <w:keepLines w:val="1"/>
        <w:keepNext w:val="1"/>
        <w:widowControl w:val="1"/>
      </w:pPr>
      <w:r>
        <w:t xml:space="preserve">Independiente (I): indicadores basados en auditorías y registros automatizados tienden a ser más independientes que los derivados de estimaciones subjetivas.  </w:t>
      </w:r>
    </w:p>
    <w:p>
      <w:pPr>
        <w:pStyle w:val="ListBullet"/>
        <w:keepLines w:val="1"/>
        <w:widowControl w:val="1"/>
      </w:pPr>
      <w:r>
        <w:t>Rentable (C): métricas que aprovechán datos ya recogidos por ENS, IMC, SIEM o herramientas de gestión son muy rentables (2–3); las que exigen análisis económicos detallados (M6.* ) pueden puntuar más bajo (1–2).[web:49][web:54][web:46]</w:t>
      </w:r>
    </w:p>
    <w:p>
      <w:pPr>
        <w:pStyle w:val="Heading2"/>
        <w:keepNext/>
        <w:keepLines/>
      </w:pPr>
      <w:r>
        <w:rPr>
          <w:color w:val="0066CC"/>
        </w:rPr>
        <w:t>4. Uso de la matriz</w:t>
      </w:r>
    </w:p>
    <w:p>
      <w:pPr>
        <w:pStyle w:val="ListNumber"/>
        <w:keepLines w:val="1"/>
        <w:keepNext w:val="1"/>
        <w:widowControl w:val="1"/>
      </w:pPr>
      <w:r>
        <w:t xml:space="preserve">Selección: priorizar métricas con puntuaciones ≥ 20 para cuadros de mando nacionales y de alta dirección.  </w:t>
      </w:r>
    </w:p>
    <w:p>
      <w:pPr>
        <w:pStyle w:val="ListNumber"/>
        <w:keepLines w:val="1"/>
        <w:keepNext w:val="1"/>
        <w:widowControl w:val="1"/>
      </w:pPr>
      <w:r>
        <w:t xml:space="preserve">Mejora: revisar procesos de captura y definición de métricas con puntuaciones bajas en G, A(c), I o C.  </w:t>
      </w:r>
    </w:p>
    <w:p>
      <w:pPr>
        <w:pStyle w:val="ListNumber"/>
        <w:keepLines w:val="1"/>
        <w:widowControl w:val="1"/>
      </w:pPr>
      <w:r>
        <w:t>Depuración: considerar la sustitución de métricas con baja puntuación global por otras más PRAGMATIC, para evitar inflar el tablero con datos de escaso valor.</w:t>
      </w:r>
    </w:p>
    <w:p>
      <w:r>
        <w:t>La matriz no es un veredicto divino, sino un espejo razonablemente honesto de qué métricas merecen el esfuerzo de ser mantenidas.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