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(c) NARRATIVA EXPLICATIVA DE LA ENCUESTA MARGA‑ENS</w:t>
      </w:r>
    </w:p>
    <w:p>
      <w:pPr>
        <w:pStyle w:val="Heading2"/>
        <w:keepNext/>
        <w:keepLines/>
      </w:pPr>
      <w:r>
        <w:rPr>
          <w:color w:val="0066CC"/>
        </w:rPr>
        <w:t>1. Por qué una encuesta sobre indicadores… y por qué ahora</w:t>
      </w:r>
    </w:p>
    <w:p>
      <w:r>
        <w:t>Durante años, la ciberseguridad vivió cómoda en el reino del “cumplimiento formal”: políticas cuidadosamente redactadas, declaraciones de aplicabilidad impecables y una legión de documentos que, con un poco de suerte, alguien leía. El Esquema Nacional de Seguridad vino a poner orden, y el CCN, con el proyecto INES, recordó amablemente que había que informar sobre el estado de seguridad con métricas e indicadores, no sólo con buenas intenciones.[web:19][web:16]</w:t>
      </w:r>
    </w:p>
    <w:p>
      <w:r>
        <w:t>Al mismo tiempo, INCIBE decidió complicarnos la vida (para bien) con el Diccionario de Indicadores para la Mejora de la Ciberresiliencia (IMC), un catálogo exhaustivo que explica qué medir, cómo y con qué propósito.[web:27][web:35] Y, por si faltara algo, Europa se aficionó a la palabra ciberresiliencia, NIS2 elevó la exigencia, y los informes internacionales empezaron a hablar del riesgo cibernético en términos de impacto económico, geopolítico y sistémico.[web:7][web:11][web:12]</w:t>
      </w:r>
    </w:p>
    <w:p>
      <w:r>
        <w:t>En ese contexto, seguir gestionando la ciberseguridad “a ojo” se parece peligrosamente a conducir de noche sin luces, confiando en que la carretera se adapte a nosotros. La encuesta MARGA‑ENS nace para encender los faros: poner nombres, números y tendencias allí donde antes había intuiciones y reseñas verbales.</w:t>
      </w:r>
    </w:p>
    <w:p>
      <w:pPr>
        <w:pStyle w:val="Heading2"/>
        <w:keepNext/>
        <w:keepLines/>
      </w:pPr>
      <w:r>
        <w:rPr>
          <w:color w:val="0066CC"/>
        </w:rPr>
        <w:t>2. Qué pretende medir la encuesta (más allá de lo obvio)</w:t>
      </w:r>
    </w:p>
    <w:p>
      <w:r>
        <w:t>La encuesta no busca humillar a nadie ni entregar diplomas de buena conducta. Persigue tres objetivos más ambiciosos (y menos moralizantes):</w:t>
      </w:r>
    </w:p>
    <w:p>
      <w:pPr>
        <w:pStyle w:val="ListNumber"/>
        <w:keepLines w:val="1"/>
        <w:keepNext w:val="1"/>
        <w:widowControl w:val="1"/>
      </w:pPr>
      <w:r>
        <w:t xml:space="preserve">Cartografiar la madurez de medición. No tanto si se tienen muchos controles, sino si se sabe qué hacen, cómo de bien lo hacen y cuánto riesgo mitigan.  </w:t>
      </w:r>
    </w:p>
    <w:p>
      <w:pPr>
        <w:pStyle w:val="ListNumber"/>
        <w:keepLines w:val="1"/>
        <w:keepNext w:val="1"/>
        <w:widowControl w:val="1"/>
      </w:pPr>
      <w:r>
        <w:t xml:space="preserve">Conectar ENS, IMC y marcos internacionales. Demostrar que el ENS no vive en una isla normativa, sino que dialoga con la ciberresiliencia, Zero Trust, NIS2, DORA y las mejores prácticas de CISOs a nivel global.[web:26][web:27][web:20][web:12]  </w:t>
      </w:r>
    </w:p>
    <w:p>
      <w:pPr>
        <w:pStyle w:val="ListNumber"/>
        <w:keepLines w:val="1"/>
        <w:widowControl w:val="1"/>
      </w:pPr>
      <w:r>
        <w:t>Generar un idioma común entre técnicos, directivos y reguladores. Un indicador bien definido es un puente: el CISO entiende la realidad técnica, la Dirección entiende el riesgo y el regulador entiende el grado de cumplimiento. Todos hablan de lo mismo, aunque con acentos distintos.</w:t>
      </w:r>
    </w:p>
    <w:p>
      <w:pPr>
        <w:pStyle w:val="Heading2"/>
        <w:keepNext/>
        <w:keepLines/>
      </w:pPr>
      <w:r>
        <w:rPr>
          <w:color w:val="0066CC"/>
        </w:rPr>
        <w:t>3. De la norma al indicador: ENS, IMC y compañía</w:t>
      </w:r>
    </w:p>
    <w:p>
      <w:r>
        <w:t>El ENS establece principios, requisitos y medidas; el CCN estructura el proceso de adecuación y recuerda que hay que informar del estado de seguridad con métricas; el modelo IMC explica cómo medir la ciberresiliencia; las iniciativas sobre marcos estandarizados de indicadores para CISOs señalan qué KPIs y KRIs tienen sentido para la Alta Dirección.[web:19][web:27][web:20]</w:t>
      </w:r>
    </w:p>
    <w:p>
      <w:r>
        <w:t>La encuesta MARGA‑ENS recoge todos esos ingredientes y los convierte en preguntas muy concretas:</w:t>
      </w:r>
    </w:p>
    <w:p>
      <w:pPr>
        <w:pStyle w:val="ListBullet"/>
        <w:keepLines w:val="1"/>
        <w:keepNext w:val="1"/>
        <w:widowControl w:val="1"/>
      </w:pPr>
      <w:r>
        <w:t xml:space="preserve">¿Tiene usted una DoA aprobada?  </w:t>
      </w:r>
    </w:p>
    <w:p>
      <w:pPr>
        <w:pStyle w:val="ListBullet"/>
        <w:keepLines w:val="1"/>
        <w:keepNext w:val="1"/>
        <w:widowControl w:val="1"/>
      </w:pPr>
      <w:r>
        <w:t xml:space="preserve">¿Cuántos sistemas ha categorizado?  </w:t>
      </w:r>
    </w:p>
    <w:p>
      <w:pPr>
        <w:pStyle w:val="ListBullet"/>
        <w:keepLines w:val="1"/>
        <w:keepNext w:val="1"/>
        <w:widowControl w:val="1"/>
      </w:pPr>
      <w:r>
        <w:t xml:space="preserve">¿Mide MTTD y MTTR?  </w:t>
      </w:r>
    </w:p>
    <w:p>
      <w:pPr>
        <w:pStyle w:val="ListBullet"/>
        <w:keepLines w:val="1"/>
        <w:keepNext w:val="1"/>
        <w:widowControl w:val="1"/>
      </w:pPr>
      <w:r>
        <w:t xml:space="preserve">¿Conoce el IMC? ¿Lo usa?  </w:t>
      </w:r>
    </w:p>
    <w:p>
      <w:pPr>
        <w:pStyle w:val="ListBullet"/>
        <w:keepLines w:val="1"/>
        <w:widowControl w:val="1"/>
      </w:pPr>
      <w:r>
        <w:t>¿Cuántos servicios críticos sobrevivirían a un incidente serio sin perder el pulso?</w:t>
      </w:r>
    </w:p>
    <w:p>
      <w:r>
        <w:t>Cada respuesta permite inferir no sólo la situación puntual de una organización, sino también la posición relativa de un país entero respecto a sus pares europeos e internacionales en materia de medición de ciberresiliencia.[web:7][web:11]</w:t>
      </w:r>
    </w:p>
    <w:p>
      <w:pPr>
        <w:pStyle w:val="Heading2"/>
        <w:keepNext/>
        <w:keepLines/>
      </w:pPr>
      <w:r>
        <w:rPr>
          <w:color w:val="0066CC"/>
        </w:rPr>
        <w:t>4. El tono de la encuesta: inquisitiva, sí; inquisitorial, no</w:t>
      </w:r>
    </w:p>
    <w:p>
      <w:r>
        <w:t>La encuesta es exhaustiva porque la realidad lo es: la superficie de ataque crece, las dependencias se multiplican y la complejidad no entiende de horarios. Pero exhaustivo no equivale a agresivo.</w:t>
      </w:r>
    </w:p>
    <w:p>
      <w:r>
        <w:t>Las preguntas:</w:t>
      </w:r>
    </w:p>
    <w:p>
      <w:pPr>
        <w:pStyle w:val="ListBullet"/>
        <w:keepLines w:val="1"/>
        <w:keepNext w:val="1"/>
        <w:widowControl w:val="1"/>
      </w:pPr>
      <w:r>
        <w:t xml:space="preserve">No juzgan, describen. “No medimos MTTD” no significa “somos negligentes”; significa “hemos decidido vivir con ese nivel de incertidumbre”, lo cual ya es un dato valioso.  </w:t>
      </w:r>
    </w:p>
    <w:p>
      <w:pPr>
        <w:pStyle w:val="ListBullet"/>
        <w:keepLines w:val="1"/>
        <w:keepNext w:val="1"/>
        <w:widowControl w:val="1"/>
      </w:pPr>
      <w:r>
        <w:t xml:space="preserve">No prescriben, insinúan. Cuando se pregunta por Zero Trust, no se exige un templo doctrinal; basta con saber si se ha trascendido el firewall como objeto totémico.[web:14][web:10]  </w:t>
      </w:r>
    </w:p>
    <w:p>
      <w:pPr>
        <w:pStyle w:val="ListBullet"/>
        <w:keepLines w:val="1"/>
        <w:widowControl w:val="1"/>
      </w:pPr>
      <w:r>
        <w:t>No ridiculizan, aunque a veces usen un guiño irónico. El humor es una forma eficaz de señalar un problema sin levantar barreras defensivas.</w:t>
      </w:r>
    </w:p>
    <w:p>
      <w:pPr>
        <w:pStyle w:val="Heading2"/>
        <w:keepNext/>
        <w:keepLines/>
      </w:pPr>
      <w:r>
        <w:rPr>
          <w:color w:val="0066CC"/>
        </w:rPr>
        <w:t>5. Cómo se leerán los resultados (y para qué)</w:t>
      </w:r>
    </w:p>
    <w:p>
      <w:r>
        <w:t>Lejos de acumular porcentajes en informes interminables, la intención es construir una historia cuantitativa:</w:t>
      </w:r>
    </w:p>
    <w:p>
      <w:pPr>
        <w:pStyle w:val="ListBullet"/>
        <w:keepLines w:val="1"/>
        <w:keepNext w:val="1"/>
        <w:widowControl w:val="1"/>
      </w:pPr>
      <w:r>
        <w:t xml:space="preserve">Por bloque temático: gobernanza, ciberresiliencia, operaciones, arquitectura, cultura, economía del riesgo.  </w:t>
      </w:r>
    </w:p>
    <w:p>
      <w:pPr>
        <w:pStyle w:val="ListBullet"/>
        <w:keepLines w:val="1"/>
        <w:keepNext w:val="1"/>
        <w:widowControl w:val="1"/>
      </w:pPr>
      <w:r>
        <w:t xml:space="preserve">Por sector y tamaño: sabiendo que un hospital y una pyme industrial viven realidades distintas, pero pueden aprender la una de la otra.  </w:t>
      </w:r>
    </w:p>
    <w:p>
      <w:pPr>
        <w:pStyle w:val="ListBullet"/>
        <w:keepLines w:val="1"/>
        <w:widowControl w:val="1"/>
      </w:pPr>
      <w:r>
        <w:t>En el tiempo: repetir la encuesta periódicamente permitirá ver si las reformas normativas, los programas de financiación y las campañas de concienciación producen cambios medibles.</w:t>
      </w:r>
    </w:p>
    <w:p>
      <w:r>
        <w:t>Con esos ingredientes se construirán:</w:t>
      </w:r>
    </w:p>
    <w:p>
      <w:pPr>
        <w:pStyle w:val="ListBullet"/>
        <w:keepLines w:val="1"/>
        <w:keepNext w:val="1"/>
        <w:widowControl w:val="1"/>
      </w:pPr>
      <w:r>
        <w:t xml:space="preserve">Índices parciales de madurez (por ejemplo, madurez ENS, madurez IMC, madurez Zero Trust).  </w:t>
      </w:r>
    </w:p>
    <w:p>
      <w:pPr>
        <w:pStyle w:val="ListBullet"/>
        <w:keepLines w:val="1"/>
        <w:keepNext w:val="1"/>
        <w:widowControl w:val="1"/>
      </w:pPr>
      <w:r>
        <w:t xml:space="preserve">Un Índice Global de Madurez (IGM) que no pretende ser la verdad absoluta, pero sí una brújula útil.  </w:t>
      </w:r>
    </w:p>
    <w:p>
      <w:pPr>
        <w:pStyle w:val="ListBullet"/>
        <w:keepLines w:val="1"/>
        <w:widowControl w:val="1"/>
      </w:pPr>
      <w:r>
        <w:t>Insumos para análisis de ROI: si aumenta el IGM y disminuyen incidentes y pérdidas, algo se estará haciendo bien.</w:t>
      </w:r>
    </w:p>
    <w:p>
      <w:pPr>
        <w:pStyle w:val="Heading2"/>
        <w:keepNext/>
        <w:keepLines/>
      </w:pPr>
      <w:r>
        <w:rPr>
          <w:color w:val="0066CC"/>
        </w:rPr>
        <w:t>6. Qué puede hacer la organización con los resultados</w:t>
      </w:r>
    </w:p>
    <w:p>
      <w:r>
        <w:t>A nivel micro (organización), los resultados permitirán:</w:t>
      </w:r>
    </w:p>
    <w:p>
      <w:pPr>
        <w:pStyle w:val="ListBullet"/>
        <w:keepLines w:val="1"/>
        <w:keepNext w:val="1"/>
        <w:widowControl w:val="1"/>
      </w:pPr>
      <w:r>
        <w:t xml:space="preserve">Priorizar: saber si el problema está en la ausencia de indicadores, en la falta de pruebas de continuidad o en la inexistencia de métricas económicas.  </w:t>
      </w:r>
    </w:p>
    <w:p>
      <w:pPr>
        <w:pStyle w:val="ListBullet"/>
        <w:keepLines w:val="1"/>
        <w:keepNext w:val="1"/>
        <w:widowControl w:val="1"/>
      </w:pPr>
      <w:r>
        <w:t xml:space="preserve">Dialogar: disponer de una base objetiva para conversar con la Alta Dirección, el regulador, los auditores o la matriz.  </w:t>
      </w:r>
    </w:p>
    <w:p>
      <w:pPr>
        <w:pStyle w:val="ListBullet"/>
        <w:keepLines w:val="1"/>
        <w:widowControl w:val="1"/>
      </w:pPr>
      <w:r>
        <w:t>Planificar: definir hojas de ruta realistas de mejora de madurez, con hitos anuales.</w:t>
      </w:r>
    </w:p>
    <w:p>
      <w:r>
        <w:t>A nivel macro (país), los resultados agregados contribuirán a:</w:t>
      </w:r>
    </w:p>
    <w:p>
      <w:pPr>
        <w:pStyle w:val="ListBullet"/>
        <w:keepLines w:val="1"/>
        <w:keepNext w:val="1"/>
        <w:widowControl w:val="1"/>
      </w:pPr>
      <w:r>
        <w:t xml:space="preserve">Ajustar políticas públicas y programas de apoyo.  </w:t>
      </w:r>
    </w:p>
    <w:p>
      <w:pPr>
        <w:pStyle w:val="ListBullet"/>
        <w:keepLines w:val="1"/>
        <w:keepNext w:val="1"/>
        <w:widowControl w:val="1"/>
      </w:pPr>
      <w:r>
        <w:t xml:space="preserve">Identificar sectores especialmente vulnerables o rezagados.  </w:t>
      </w:r>
    </w:p>
    <w:p>
      <w:pPr>
        <w:pStyle w:val="ListBullet"/>
        <w:keepLines w:val="1"/>
        <w:widowControl w:val="1"/>
      </w:pPr>
      <w:r>
        <w:t>Justificar inversiones y reformas normativas con datos, no sólo con titulares alarmistas.</w:t>
      </w:r>
    </w:p>
    <w:p>
      <w:pPr>
        <w:pStyle w:val="Heading2"/>
        <w:keepNext/>
        <w:keepLines/>
      </w:pPr>
      <w:r>
        <w:rPr>
          <w:color w:val="0066CC"/>
        </w:rPr>
        <w:t>7. Y si los resultados son “malos”… mejor</w:t>
      </w:r>
    </w:p>
    <w:p>
      <w:r>
        <w:t>Existe una tentación comprensible de maquillar respuestas para evitar sacar los colores a la organización. Es un reflejo humano, pero contraproducente: una encuesta que sólo produce cuadros de mando impecables es, por definición, falsa.</w:t>
      </w:r>
    </w:p>
    <w:p>
      <w:r>
        <w:t>Un resultado “malo” (pocas métricas, poca resiliencia, poco Zero Trust) es:</w:t>
      </w:r>
    </w:p>
    <w:p>
      <w:pPr>
        <w:pStyle w:val="ListBullet"/>
        <w:keepLines w:val="1"/>
        <w:keepNext w:val="1"/>
        <w:widowControl w:val="1"/>
      </w:pPr>
      <w:r>
        <w:t xml:space="preserve">Un diagnóstico valioso.  </w:t>
      </w:r>
    </w:p>
    <w:p>
      <w:pPr>
        <w:pStyle w:val="ListBullet"/>
        <w:keepLines w:val="1"/>
        <w:keepNext w:val="1"/>
        <w:widowControl w:val="1"/>
      </w:pPr>
      <w:r>
        <w:t xml:space="preserve">Una oportunidad de priorización.  </w:t>
      </w:r>
    </w:p>
    <w:p>
      <w:pPr>
        <w:pStyle w:val="ListBullet"/>
        <w:keepLines w:val="1"/>
        <w:widowControl w:val="1"/>
      </w:pPr>
      <w:r>
        <w:t>El principio de una narrativa de mejora (“en 2026 estábamos aquí, en 2028 queremos estar allá”).</w:t>
      </w:r>
    </w:p>
    <w:p>
      <w:r>
        <w:t>La única respuesta realmente inútil es la que no se da… o la que se da en modo ficción.</w:t>
      </w:r>
    </w:p>
    <w:p>
      <w:pPr>
        <w:pStyle w:val="Heading2"/>
        <w:keepNext/>
        <w:keepLines/>
      </w:pPr>
      <w:r>
        <w:rPr>
          <w:color w:val="0066CC"/>
        </w:rPr>
        <w:t>8. Conclusión: medir para decidir, no para decorar</w:t>
      </w:r>
    </w:p>
    <w:p>
      <w:r>
        <w:t>La encuesta MARGA‑ENS está diseñada para que cada pregunta tenga una utilidad práctica. No hay adornos retóricos ni obsesión estadística: hay un intento honesto de que el ENS, el IMC, las normas europeas y las buenas prácticas de CISOs se encuentren en un punto común: el indicador.</w:t>
      </w:r>
    </w:p>
    <w:p>
      <w:r>
        <w:t>Si, al terminarla, el responsable de seguridad se sorprende pensando “deberíamos empezar a medir esto, porque realmente importa”, la encuesta habrá cumplido su misión. El siguiente paso —convertir esa reflexión en presupuesto y acción— ya es otro tipo de heroísmo, menos estadístico y más político.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