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(d) MAPEO DETALLADO DE CADA PREGUNTA A REQUISITOS NORMATIVOS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 Pregunta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Bloque / Tema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 ENS / IMC / Marco relacionado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 del mapeo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5–7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Alcance y categorización ENS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RD 311/2022: Política de seguridad, categorización de sistemas; Proceso de adecuación CCN.[web:26][web:19]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Determinan si se han ejecutado los pasos iniciales de categorización y alcance exigidos en el plan de adecuación ENS.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8–10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Política y organización de la 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ENS: Política de seguridad, organización de la seguridad; ISO/IEC 27001 (cláusulas contexto y liderazgo).[web:26][web:36]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Evalúan la existencia de política formal y estructura organizativa de seguridad, requisitos básicos del ENS.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11–13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Declaración de Aplicabilidad (DoA)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Anexo II, DoA; Guías de adecuación ENS.[web:26][web:19][web:38]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La DoA es pieza clave del proceso ENS; su implantación y seguimiento son requisitos para demostrar conformidad.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14–16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Análisis de riesgos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ENS: análisis de riesgos; ISO/IEC 27005; NIS2 (gestión de riesgos).[web:26][web:19][web:12]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Miden el grado de implantación de la gestión de riesgos en coherencia con ENS y marcos de riesgo.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17–19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Cuadro de mando e indicadores ENS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ENS: informar sobre el estado de seguridad; proyecto INES (métricas e indicadores).[web:16][web:19]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Evalúan el cumplimiento del mandato de informar sobre estado de seguridad mediante métricas.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20–21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Adopción del modelo IMC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Diccionario de Indicadores para Mejora de la Ciberresiliencia (IMC) de INCIBE.[web:27][web:35]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Determinan si se utiliza el modelo nacional de indicadores de ciberresiliencia recomendado para sectores esenciales.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22–25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Metas de ciberresiliencia (A,R,Rec,E)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IMC: metas Anticipar, Resistir, Recuperar, Evolucionar; modelos de evaluación IMC.[web:27][web:33]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Miden el uso de indicadores por meta de ciberresiliencia según la estructura conceptual del IMC.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26–27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Gestión de vulnerabilidades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ENS: medidas de protección; IMC dominios de gestión de vulnerabilidades; buenas prácticas KPIs.[web:27][web:21]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Analizan la existencia de indicadores de vulnerabilidades, alineados con medidas ENS y métricas IMC.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28–31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Detección y respuesta (MTTD/MTTR)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IMC: indicadores de detección y respuesta; marcos KPIs/KRIs para CISOs.[web:27][web:20][web:21]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Corresponden a indicadores clave de desempeño operativo recomendados internacionalmente.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32–34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Registro de incidentes e impactos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ENS: gestión de incidentes; IMC: indicadores de incidentes; marcos de reporte a alta dirección.[web:26][web:27][web:20]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Miden la formalización del registro de incidentes y la estimación de impactos, esenciales para gestión de riesgo.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35–39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Zero Trust y arquitectura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Guías e informes sobre Zero Trust (NIST, industria); ENS: control de acceso, autenticación, monitorización.[web:6][web:14][web:10][web:26]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Evalúan el grado de adopción del paradigma Zero Trust y su medición, en coherencia con requisitos de acceso y trazabilidad del ENS.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40–42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Formación y concienciación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ENS: formación y concienciación; IMC: dominios de capacitación; buenas prácticas de ciberresiliencia.[web:26][web:27]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Vinculan la obligación ENS de formación con indicadores públicos de participación y efectividad.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43–45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Continuidad y recuperación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ENS: continuidad del servicio y recuperación; estrategias sectoriales (ej. ciberseguridad del SNS).[web:26][web:30]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Miden la existencia de BCP/DRP y sus pruebas, alineados con los requisitos ENS de disponibilidad y continuidad.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46–48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Riesgo económico y ciberseguro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NIS2/DORA: gestión de riesgo financiero; IMC: indicadores de riesgo; informes globales de riesgo cibernético.[web:12][web:27][web:11]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Conectan la gestión de riesgos ENS/IMC con la cuantificación económica y el uso de seguros.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49–51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Inversión, IGM y ROI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Marcos de indicadores para CISOs; modelos IMC (indicadores y madurez); prácticas de ROI en ciberseguridad.[web:20][web:27][web:21]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Permiten construir un índice global de madurez y aproximaciones de ROI vinculando inversión e indicadores.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52–54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Alineamiento internacional y auditoría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ENS: auditoría y certificación; ISO/IEC 27001; NIS2, DORA; estrategias de ciberresiliencia UE.[web:26][web:12][web:7][web:15]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Identifican el multi‑alineamiento normativo y el grado de verificación externa de las prácticas de seguridad.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55–57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Perspectiva del responsable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Buenas prácticas de reporting a alta dirección (ISMS Forum, consultoras).[web:20][web:12]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Añaden dimensión cualitativa que complementa el cumplimiento normativo con la percepción del responsable.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