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(d) MAPEO GQM DE LAS PREGUNTAS DE LA ENCUESTA A REQUISITOS NORMATIVOS</w:t>
      </w:r>
    </w:p>
    <w:p>
      <w:r>
        <w:t>Nota: esta tabla complementa el mapeo anterior, añadiendo explícitamente la meta GQM asociada.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encuesta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Meta GQM (Gx)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GQM (Qx.y)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Métrica(s) principal(es) (Mx.y.z)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 ENS/IMC/marco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5–7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 – Implantación adecuada del 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Q1.1 – ¿Se han categorizado los sistemas ENS?[web:26][web:19]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M1.1.a – % sistemas críticos categorizados 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RD 311/2022; Proceso CCN ENS[web:26][web:19]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8–10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Q1.2 – ¿Existe política y organización de seguridad?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M1.2.a – Estado política/organización (escala 0–3)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ENS: política y organización[web:26][web:36]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11–13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Q1.3 – ¿Se ha definido e implantado la DoA?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M1.2.a, M1.3.a – Estado DoA; % medidas implantadas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ENS: DoA, medidas de seguridad[web:26][web:19]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14–16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G1/G3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Q1.4 – ¿Se gestiona el riesgo de forma sistemática?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M1.4.a – Existencia y periodicidad de análisis de riesgos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ENS: análisis de riesgos; NIS2[web:26][web:12]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17–19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G1/G3/G6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Q3.4 – ¿Se informa del estado de seguridad con indicadores?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M3.4.a – Existencia cuadro de mando; frecuencia reporting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ENS: informar estado; INES[web:16][web:19]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20–21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 – Ciberresiliencia según IMC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Q2.1 – ¿Se adopta el modelo IMC?[web:49][web:27]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M2.1.a – Nivel adopción IMC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IMC‑01/02; estrategia ciberresiliencia[web:49][web:27][web:52]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22–25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Q2.2 – ¿Se usan indicadores por metas (A,R,Rec,E)?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M2.2.a, M2.3.a – Índices por meta IMC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IMC metas Anticipar/Resistir/etc.[web:49][web:33][web:27]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26–27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G3 – Eficacia operativa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Q3.1 – ¿Cómo se gestionan vulnerabilidades?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M3.3.a/b – Tiempo parcheado; % en SLA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IMC dominios técnicos; KPIs estándar[web:27][web:21]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28–31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Q3.2 – ¿Cuáles son los tiempos de detección y respuesta?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M3.1.a, M3.2.a – MTTD; MTTR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IMC indicadores de detección y respuesta[web:49][web:33]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32–34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G3/G6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Q3.3 – ¿Se registran y evalúan incidentes e impactos?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M3.4.b – Frecuencia incidentes; M6.1.a – impacto económico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ENS: gestión incidentes; IMC; marcos ROI[web:26][web:49][web:33]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35–39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G4 – Zero Trust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Q4.1 – ¿Qué grado de adopción de Zero Trust existe?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M4.1.a, M4.2.a – MFA; monitoreo este‑oeste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ZT; ENS control de acceso[web:6][web:10][web:14][web:26]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40–42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G5 – Cultura de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Q5.1 – ¿Se forma y mide la formación?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M5.1.a – % personal formado; métricas de campañas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ENS: concienciación; IMC formación[web:26][web:49][web:52]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43–45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G5/G2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Q5.2 – ¿Se disponen y prueban BCP/DRP?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M5.2.a/b – Frecuencia y éxito de pruebas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continuidad; estrategias sectoriales[web:26][web:30]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46–48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G6 – Riesgo empresarial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Q6.1 – ¿Se cuantifica el riesgo en términos económicos?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M6.1.a – Pérdida esperada; uso de ciberseguro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NIS2/DORA; IMC indicadores de riesgo[web:33][web:12][web:49]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49–51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Q6.2 – ¿Cómo se relaciona inversión y riesgo (IGM/ROI)?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M6.2.a, M6.3.a – % gasto; ROI aproximado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Marcos de indicadores para CISOs[web:20][web:21][web:33]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52–54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G7 – Alineamiento internacional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Q7.1 – ¿Existe alineamiento con ISO/NIST/NIS2/DORA?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M7.1.a – Nº marcos adoptados; auditorías realizadas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ENS; ISO 27001; NIS2; DORA; UE ciberestrategia[web:26][web:7][web:15]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55–57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G1–G7 (percepción transversal)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Qx – ¿Percibe adecuación de indicadores a riesgos reales?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Mx – Valoración subjetiva; comentarios cualitativos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Buenas prácticas de reporting[web:20][web:12]</w:t>
            </w:r>
          </w:p>
        </w:tc>
      </w:tr>
    </w:tbl>
    <w:p/>
    <w:p>
      <w:r>
        <w:t>Esta tabla sirve como mapa de trazabilidad: cada pregunta de la encuesta MARGA‑ENS tiene una meta GQM, una o más métricas y una referencia normativa explícita.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