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 (DESCRIPCIÓN EN MARKDOWN)</w:t>
      </w:r>
    </w:p>
    <w:p>
      <w:pPr>
        <w:pStyle w:val="Heading2"/>
        <w:keepNext/>
        <w:keepLines/>
      </w:pPr>
      <w:r>
        <w:rPr>
          <w:color w:val="0066CC"/>
        </w:rPr>
        <w:t>1. Estructura general del libro de Excel</w:t>
      </w:r>
    </w:p>
    <w:p>
      <w:r>
        <w:t>Se propone un libro con las siguientes hojas:</w:t>
      </w:r>
    </w:p>
    <w:p>
      <w:pPr>
        <w:pStyle w:val="ListNumber"/>
        <w:keepLines w:val="1"/>
        <w:keepNext w:val="1"/>
        <w:widowControl w:val="1"/>
      </w:pPr>
      <w:r>
        <w:t xml:space="preserve">Datos_Encuesta – captura estructurada de las respuestas.  </w:t>
      </w:r>
    </w:p>
    <w:p>
      <w:pPr>
        <w:pStyle w:val="ListNumber"/>
        <w:keepLines w:val="1"/>
        <w:keepNext w:val="1"/>
        <w:widowControl w:val="1"/>
      </w:pPr>
      <w:r>
        <w:t xml:space="preserve">Codificacion – tabla de correspondencia entre respuestas y valores numéricos.  </w:t>
      </w:r>
    </w:p>
    <w:p>
      <w:pPr>
        <w:pStyle w:val="ListNumber"/>
        <w:keepLines w:val="1"/>
        <w:keepNext w:val="1"/>
        <w:widowControl w:val="1"/>
      </w:pPr>
      <w:r>
        <w:t xml:space="preserve">IGM_Calculo – cálculo del Índice Global de Madurez (IGM) y subíndices.  </w:t>
      </w:r>
    </w:p>
    <w:p>
      <w:pPr>
        <w:pStyle w:val="ListNumber"/>
        <w:keepLines w:val="1"/>
        <w:keepNext w:val="1"/>
        <w:widowControl w:val="1"/>
      </w:pPr>
      <w:r>
        <w:t xml:space="preserve">ROI_Calculo – estimaciones de riesgo, pérdidas evitadas y ROI.  </w:t>
      </w:r>
    </w:p>
    <w:p>
      <w:pPr>
        <w:pStyle w:val="ListNumber"/>
        <w:keepLines w:val="1"/>
        <w:widowControl w:val="1"/>
      </w:pPr>
      <w:r>
        <w:t>Reportes – tablas y gráficos resumen para uso ejecutivo.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Columnas sugeridas (una fila por organización encuestada):</w:t>
      </w:r>
    </w:p>
    <w:p>
      <w:pPr>
        <w:pStyle w:val="ListBullet"/>
        <w:keepLines w:val="1"/>
        <w:keepNext w:val="1"/>
        <w:widowControl w:val="1"/>
      </w:pPr>
      <w:r>
        <w:t xml:space="preserve">ID_Org – identificador anónimo de la organización.  </w:t>
      </w:r>
    </w:p>
    <w:p>
      <w:pPr>
        <w:pStyle w:val="ListBullet"/>
        <w:keepLines w:val="1"/>
        <w:keepNext w:val="1"/>
        <w:widowControl w:val="1"/>
      </w:pPr>
      <w:r>
        <w:t xml:space="preserve">Sector – sector (de la pregunta 2).  </w:t>
      </w:r>
    </w:p>
    <w:p>
      <w:pPr>
        <w:pStyle w:val="ListBullet"/>
        <w:keepLines w:val="1"/>
        <w:keepNext w:val="1"/>
        <w:widowControl w:val="1"/>
      </w:pPr>
      <w:r>
        <w:t xml:space="preserve">Tamano – tamaño (pregunta 3).  </w:t>
      </w:r>
    </w:p>
    <w:p>
      <w:pPr>
        <w:pStyle w:val="ListBullet"/>
        <w:keepLines w:val="1"/>
        <w:keepNext w:val="1"/>
        <w:widowControl w:val="1"/>
      </w:pPr>
      <w:r>
        <w:t xml:space="preserve">Tipo_Entidad – tipo (pregunta 1).  </w:t>
      </w:r>
    </w:p>
    <w:p>
      <w:pPr>
        <w:pStyle w:val="ListBullet"/>
        <w:keepLines w:val="1"/>
        <w:widowControl w:val="1"/>
      </w:pPr>
      <w:r>
        <w:t>P5 ... P57 – columnas que recogen la opción marcada en cada pregunta.</w:t>
      </w:r>
    </w:p>
    <w:p>
      <w:r>
        <w:t>Ejemplo de codificación textual:</w:t>
      </w:r>
    </w:p>
    <w:p>
      <w:pPr>
        <w:pStyle w:val="ListBullet"/>
        <w:keepLines w:val="1"/>
        <w:keepNext w:val="1"/>
        <w:widowControl w:val="1"/>
      </w:pPr>
      <w:r>
        <w:t xml:space="preserve">P5 = "Doc_Formal_Aprobado" </w:t>
      </w:r>
    </w:p>
    <w:p>
      <w:pPr>
        <w:pStyle w:val="ListBullet"/>
        <w:keepLines w:val="1"/>
        <w:keepNext w:val="1"/>
        <w:widowControl w:val="1"/>
      </w:pPr>
      <w:r>
        <w:t xml:space="preserve">P27 = "7_30_dias" </w:t>
      </w:r>
    </w:p>
    <w:p>
      <w:pPr>
        <w:pStyle w:val="ListBullet"/>
        <w:keepLines w:val="1"/>
        <w:widowControl w:val="1"/>
      </w:pPr>
      <w:r>
        <w:t>etc.</w:t>
      </w:r>
    </w:p>
    <w:p>
      <w:pPr>
        <w:pStyle w:val="Heading2"/>
        <w:keepNext/>
        <w:keepLines/>
      </w:pPr>
      <w:r>
        <w:rPr>
          <w:color w:val="0066CC"/>
        </w:rPr>
        <w:t>3. Hoja Codificacion</w:t>
      </w:r>
    </w:p>
    <w:p>
      <w:r>
        <w:t>En esta hoja se definen tablas de equivalencia, por ejemplo:</w:t>
      </w:r>
    </w:p>
    <w:p>
      <w:pPr>
        <w:pStyle w:val="Heading3"/>
        <w:keepNext/>
        <w:keepLines/>
      </w:pPr>
      <w:r>
        <w:t>3.1. Ejemplo de codificación de madurez (0–4)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 de 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numérico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 elaboración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Sí,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Sí, formalmente documentado y aprobado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r>
        <w:t xml:space="preserve">El mismo esquema puede ampliarse a una escala 0–4 o 0–5 según la granularidad deseada. Las tablas se usan en </w:t>
      </w:r>
      <w:r>
        <w:rPr>
          <w:rFonts w:ascii="Courier New" w:hAnsi="Courier New"/>
          <w:sz w:val="18"/>
        </w:rPr>
        <w:t>IGM_Calculo</w:t>
      </w:r>
      <w:r>
        <w:t xml:space="preserve"> mediante funciones de búsqueda (BUSCARV/XLOOKUP).</w:t>
      </w:r>
    </w:p>
    <w:p>
      <w:pPr>
        <w:pStyle w:val="Heading3"/>
        <w:keepNext/>
        <w:keepLines/>
      </w:pPr>
      <w:r>
        <w:t>3.2. Codificación de tiempos (MTTD, MTTR)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(puntuación)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P30/P31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Semanas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P30/P31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P30/P31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P30/P31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Minutos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Hoja IGM_Calculo</w:t>
      </w:r>
    </w:p>
    <w:p>
      <w:pPr>
        <w:pStyle w:val="Heading3"/>
        <w:keepNext/>
        <w:keepLines/>
      </w:pPr>
      <w:r>
        <w:t>4.1. Subíndices de madurez</w:t>
      </w:r>
    </w:p>
    <w:p>
      <w:r>
        <w:t>Para cada bloque se define un subíndice entre 0 y 100, calculado a partir de las preguntas relevantes:</w:t>
      </w:r>
    </w:p>
    <w:p>
      <w:pPr>
        <w:pStyle w:val="ListBullet"/>
        <w:keepLines w:val="1"/>
        <w:keepNext w:val="1"/>
        <w:widowControl w:val="1"/>
      </w:pPr>
      <w:r>
        <w:t xml:space="preserve">Gov_ENS – Gobernanza ENS y adecuación (P5–P13).  </w:t>
      </w:r>
    </w:p>
    <w:p>
      <w:pPr>
        <w:pStyle w:val="ListBullet"/>
        <w:keepLines w:val="1"/>
        <w:keepNext w:val="1"/>
        <w:widowControl w:val="1"/>
      </w:pPr>
      <w:r>
        <w:t xml:space="preserve">Riesgo_Indicadores – Riesgos e indicadores (P14–P19).  </w:t>
      </w:r>
    </w:p>
    <w:p>
      <w:pPr>
        <w:pStyle w:val="ListBullet"/>
        <w:keepLines w:val="1"/>
        <w:keepNext w:val="1"/>
        <w:widowControl w:val="1"/>
      </w:pPr>
      <w:r>
        <w:t xml:space="preserve">Ciberresiliencia_IMC – Uso del modelo IMC (P20–P25).  </w:t>
      </w:r>
    </w:p>
    <w:p>
      <w:pPr>
        <w:pStyle w:val="ListBullet"/>
        <w:keepLines w:val="1"/>
        <w:keepNext w:val="1"/>
        <w:widowControl w:val="1"/>
      </w:pPr>
      <w:r>
        <w:t xml:space="preserve">Operacion – Eficacia operativa (P26–P34).  </w:t>
      </w:r>
    </w:p>
    <w:p>
      <w:pPr>
        <w:pStyle w:val="ListBullet"/>
        <w:keepLines w:val="1"/>
        <w:keepNext w:val="1"/>
        <w:widowControl w:val="1"/>
      </w:pPr>
      <w:r>
        <w:t xml:space="preserve">Arquitectura_ZT – Zero Trust (P35–P39).  </w:t>
      </w:r>
    </w:p>
    <w:p>
      <w:pPr>
        <w:pStyle w:val="ListBullet"/>
        <w:keepLines w:val="1"/>
        <w:keepNext w:val="1"/>
        <w:widowControl w:val="1"/>
      </w:pPr>
      <w:r>
        <w:t xml:space="preserve">Cultura_Formacion – Formación y concienciación (P40–P42).  </w:t>
      </w:r>
    </w:p>
    <w:p>
      <w:pPr>
        <w:pStyle w:val="ListBullet"/>
        <w:keepLines w:val="1"/>
        <w:keepNext w:val="1"/>
        <w:widowControl w:val="1"/>
      </w:pPr>
      <w:r>
        <w:t xml:space="preserve">Continuidad – Continuidad y recuperación (P43–P45).  </w:t>
      </w:r>
    </w:p>
    <w:p>
      <w:pPr>
        <w:pStyle w:val="ListBullet"/>
        <w:keepLines w:val="1"/>
        <w:widowControl w:val="1"/>
      </w:pPr>
      <w:r>
        <w:t>Economia_Riesgo – Riesgo económico, IGM y ROI (P46–P51).</w:t>
      </w:r>
    </w:p>
    <w:p>
      <w:r>
        <w:t>Para cada subíndice: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Subindice = (SUMA de puntuaciones codificadas / Puntuación máxima posible) * 100</w:t>
        <w:br/>
      </w:r>
    </w:p>
    <w:p>
      <w:pPr>
        <w:pStyle w:val="Heading3"/>
        <w:keepNext/>
        <w:keepLines/>
      </w:pPr>
      <w:r>
        <w:t>4.2. Índice Global de Madurez (IGM)</w:t>
      </w:r>
    </w:p>
    <w:p>
      <w:r>
        <w:t>Se propone una fórmula ponderada (ajustable):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0,15 * Gov_ENS</w:t>
        <w:br/>
        <w:t xml:space="preserve">    + 0,15 * Riesgo_Indicadores</w:t>
        <w:br/>
        <w:t xml:space="preserve">    + 0,15 * Ciberresiliencia_IMC</w:t>
        <w:br/>
        <w:t xml:space="preserve">    + 0,15 * Operacion</w:t>
        <w:br/>
        <w:t xml:space="preserve">    + 0,10 * Arquitectura_ZT</w:t>
        <w:br/>
        <w:t xml:space="preserve">    + 0,10 * Cultura_Formacion</w:t>
        <w:br/>
        <w:t xml:space="preserve">    + 0,10 * Continuidad</w:t>
        <w:br/>
        <w:t xml:space="preserve">    + 0,10 * Economia_Riesgo</w:t>
        <w:br/>
      </w:r>
    </w:p>
    <w:p>
      <w:r>
        <w:t>Las ponderaciones reflejan que gobernanza, riesgos, ciberresiliencia y operación son pilares ligeramente superiores, sin despreciar cultura, arquitectura y economía. Pueden adaptarse a escenarios sectoriales.</w:t>
      </w:r>
    </w:p>
    <w:p>
      <w:pPr>
        <w:pStyle w:val="Heading3"/>
        <w:keepNext/>
        <w:keepLines/>
      </w:pPr>
      <w:r>
        <w:t>4.3. Clasificación por niveles</w:t>
      </w:r>
    </w:p>
    <w:p>
      <w:r>
        <w:t>Con el IGM (0–100) se pueden definir rangos, por ejemplo:</w:t>
      </w:r>
    </w:p>
    <w:p>
      <w:pPr>
        <w:pStyle w:val="ListBullet"/>
        <w:keepLines w:val="1"/>
        <w:keepNext w:val="1"/>
        <w:widowControl w:val="1"/>
      </w:pPr>
      <w:r>
        <w:t xml:space="preserve">0–25: Nivel I – Inicial  </w:t>
      </w:r>
    </w:p>
    <w:p>
      <w:pPr>
        <w:pStyle w:val="ListBullet"/>
        <w:keepLines w:val="1"/>
        <w:keepNext w:val="1"/>
        <w:widowControl w:val="1"/>
      </w:pPr>
      <w:r>
        <w:t xml:space="preserve">26–50: Nivel II – Básico  </w:t>
      </w:r>
    </w:p>
    <w:p>
      <w:pPr>
        <w:pStyle w:val="ListBullet"/>
        <w:keepLines w:val="1"/>
        <w:keepNext w:val="1"/>
        <w:widowControl w:val="1"/>
      </w:pPr>
      <w:r>
        <w:t xml:space="preserve">51–70: Nivel III – Intermedio  </w:t>
      </w:r>
    </w:p>
    <w:p>
      <w:pPr>
        <w:pStyle w:val="ListBullet"/>
        <w:keepLines w:val="1"/>
        <w:keepNext w:val="1"/>
        <w:widowControl w:val="1"/>
      </w:pPr>
      <w:r>
        <w:t xml:space="preserve">71–85: Nivel IV – Avanzado  </w:t>
      </w:r>
    </w:p>
    <w:p>
      <w:pPr>
        <w:pStyle w:val="ListBullet"/>
        <w:keepLines w:val="1"/>
        <w:widowControl w:val="1"/>
      </w:pPr>
      <w:r>
        <w:t>86–100: Nivel V – Optimizado</w:t>
      </w:r>
    </w:p>
    <w:p>
      <w:r>
        <w:t>Esta clasificación es útil para gráficos y comparaciones.</w:t>
      </w:r>
    </w:p>
    <w:p>
      <w:pPr>
        <w:pStyle w:val="Heading2"/>
        <w:keepNext/>
        <w:keepLines/>
      </w:pPr>
      <w:r>
        <w:rPr>
          <w:color w:val="0066CC"/>
        </w:rPr>
        <w:t>5. Hoja ROI_Calculo</w:t>
      </w:r>
    </w:p>
    <w:p>
      <w:pPr>
        <w:pStyle w:val="Heading3"/>
        <w:keepNext/>
        <w:keepLines/>
      </w:pPr>
      <w:r>
        <w:t>5.1. Variables de entrada</w:t>
      </w:r>
    </w:p>
    <w:p>
      <w:r>
        <w:t xml:space="preserve">Añadir a </w:t>
      </w:r>
      <w:r>
        <w:rPr>
          <w:rFonts w:ascii="Courier New" w:hAnsi="Courier New"/>
          <w:sz w:val="18"/>
        </w:rPr>
        <w:t>Datos_Encuesta</w:t>
      </w:r>
      <w:r>
        <w:t xml:space="preserve"> o replicar en esta hoja:</w:t>
      </w:r>
    </w:p>
    <w:p>
      <w:pPr>
        <w:pStyle w:val="ListBullet"/>
        <w:keepLines w:val="1"/>
        <w:keepNext w:val="1"/>
        <w:widowControl w:val="1"/>
      </w:pPr>
      <w:r>
        <w:t xml:space="preserve">Presupuesto_TI_Total – gasto anual TI estimado.  </w:t>
      </w:r>
    </w:p>
    <w:p>
      <w:pPr>
        <w:pStyle w:val="ListBullet"/>
        <w:keepLines w:val="1"/>
        <w:keepNext w:val="1"/>
        <w:widowControl w:val="1"/>
      </w:pPr>
      <w:r>
        <w:t xml:space="preserve">Presupuesto_Ciberseguridad – gasto anual en ciberseguridad.  </w:t>
      </w:r>
    </w:p>
    <w:p>
      <w:pPr>
        <w:pStyle w:val="ListBullet"/>
        <w:keepLines w:val="1"/>
        <w:keepNext w:val="1"/>
        <w:widowControl w:val="1"/>
      </w:pPr>
      <w:r>
        <w:t xml:space="preserve">Perdida_Anual_Actual – estimación de pérdidas anuales por incidentes (si existe).  </w:t>
      </w:r>
    </w:p>
    <w:p>
      <w:pPr>
        <w:pStyle w:val="ListBullet"/>
        <w:keepLines w:val="1"/>
        <w:widowControl w:val="1"/>
      </w:pPr>
      <w:r>
        <w:t xml:space="preserve">Perdida_Anual_Historica – referencia de años anteriores (si existe).  </w:t>
      </w:r>
    </w:p>
    <w:p>
      <w:r>
        <w:t>Si la encuesta no recoge estos valores cuantitativos, se pueden incorporar mediante una fase posterior o un módulo adicional.</w:t>
      </w:r>
    </w:p>
    <w:p>
      <w:pPr>
        <w:pStyle w:val="Heading3"/>
        <w:keepNext/>
        <w:keepLines/>
      </w:pPr>
      <w:r>
        <w:t>5.2. Cálculos básicos</w:t>
      </w:r>
    </w:p>
    <w:p>
      <w:pPr>
        <w:pStyle w:val="ListNumber"/>
        <w:keepLines w:val="1"/>
        <w:widowControl w:val="1"/>
      </w:pPr>
      <w:r>
        <w:t>Porcentaje de gasto en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Pct_Ciber = Presupuesto_Ciberseguridad / Presupuesto_TI_Total</w:t>
        <w:br/>
      </w:r>
    </w:p>
    <w:p>
      <w:pPr>
        <w:pStyle w:val="ListNumber"/>
        <w:keepLines w:val="1"/>
        <w:widowControl w:val="1"/>
      </w:pPr>
      <w:r>
        <w:t>Estimación de pérdidas evitadas (simplificada):</w:t>
      </w:r>
    </w:p>
    <w:p>
      <w:r>
        <w:t>Si existe un periodo histórico con mayor número de incidentes/pérdidas y se supone que parte de la mejora en IGM ha contribuido a reducirlas, se puede aproximar: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Perdida_Evitada = Perdida_Anual_Historica - Perdida_Anual_Actual</w:t>
        <w:br/>
      </w:r>
    </w:p>
    <w:p>
      <w:r>
        <w:t>(limitar a ≥ 0 para evitar valores negativos si la tendencia es inversa).</w:t>
      </w:r>
    </w:p>
    <w:p>
      <w:pPr>
        <w:pStyle w:val="ListNumber"/>
        <w:keepLines w:val="1"/>
        <w:widowControl w:val="1"/>
      </w:pPr>
      <w:r>
        <w:t>Estimación de ROI de ciberseguridad (a muy alto nivel):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= (Perdida_Evitada - Presupuesto_Ciberseguridad) / Presupuesto_Ciberseguridad</w:t>
        <w:br/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 xml:space="preserve">ROI &gt; 0: la reducción de pérdidas estimada supera la inversión.  </w:t>
      </w:r>
    </w:p>
    <w:p>
      <w:pPr>
        <w:pStyle w:val="ListBullet"/>
        <w:keepLines w:val="1"/>
        <w:keepNext w:val="1"/>
        <w:widowControl w:val="1"/>
      </w:pPr>
      <w:r>
        <w:t xml:space="preserve">ROI ≈ 0: equilibrio (no necesariamente malo si el riesgo habría crecido sin inversión).  </w:t>
      </w:r>
    </w:p>
    <w:p>
      <w:pPr>
        <w:pStyle w:val="ListBullet"/>
        <w:keepLines w:val="1"/>
        <w:widowControl w:val="1"/>
      </w:pPr>
      <w:r>
        <w:t>ROI &lt; 0: o bien la inversión no se ha traducido en reducción de pérdidas, o bien el horizonte temporal es insuficiente.</w:t>
      </w:r>
    </w:p>
    <w:p>
      <w:pPr>
        <w:pStyle w:val="Heading3"/>
        <w:keepNext/>
        <w:keepLines/>
      </w:pPr>
      <w:r>
        <w:t>5.3. Vinculación IGM–ROI</w:t>
      </w:r>
    </w:p>
    <w:p>
      <w:r>
        <w:t>Aunque no se recomienda una correlación simplista, se puede analizar:</w:t>
      </w:r>
    </w:p>
    <w:p>
      <w:pPr>
        <w:pStyle w:val="ListBullet"/>
        <w:keepLines w:val="1"/>
        <w:keepNext w:val="1"/>
        <w:widowControl w:val="1"/>
      </w:pPr>
      <w:r>
        <w:t xml:space="preserve">Gráficos de dispersión IGM vs. Pérdida_Anual_Actual.  </w:t>
      </w:r>
    </w:p>
    <w:p>
      <w:pPr>
        <w:pStyle w:val="ListBullet"/>
        <w:keepLines w:val="1"/>
        <w:widowControl w:val="1"/>
      </w:pPr>
      <w:r>
        <w:t xml:space="preserve">Segmentación por rango de IGM y media de pérdidas.  </w:t>
      </w:r>
    </w:p>
    <w:p>
      <w:r>
        <w:t>Esto no “demuestra” causalidad, pero ayuda a contar una historia coherente: organizaciones con mayor madurez tienden a sufrir menos impacto (o a gestionarlo mejor).</w:t>
      </w:r>
    </w:p>
    <w:p>
      <w:pPr>
        <w:pStyle w:val="Heading2"/>
        <w:keepNext/>
        <w:keepLines/>
      </w:pPr>
      <w:r>
        <w:rPr>
          <w:color w:val="0066CC"/>
        </w:rPr>
        <w:t>6. Hoja Reportes</w:t>
      </w:r>
    </w:p>
    <w:p>
      <w:r>
        <w:t>Elementos sugeridos:</w:t>
      </w:r>
    </w:p>
    <w:p>
      <w:pPr>
        <w:pStyle w:val="ListBullet"/>
        <w:keepLines w:val="1"/>
        <w:keepNext w:val="1"/>
        <w:widowControl w:val="1"/>
      </w:pPr>
      <w:r>
        <w:t xml:space="preserve">Tabla resumen por organización: IGM y subíndices.  </w:t>
      </w:r>
    </w:p>
    <w:p>
      <w:pPr>
        <w:pStyle w:val="ListBullet"/>
        <w:keepLines w:val="1"/>
        <w:keepNext w:val="1"/>
        <w:widowControl w:val="1"/>
      </w:pPr>
      <w:r>
        <w:t xml:space="preserve">Gráficos de barras por sector (IGM medio por sector).  </w:t>
      </w:r>
    </w:p>
    <w:p>
      <w:pPr>
        <w:pStyle w:val="ListBullet"/>
        <w:keepLines w:val="1"/>
        <w:keepNext w:val="1"/>
        <w:widowControl w:val="1"/>
      </w:pPr>
      <w:r>
        <w:t xml:space="preserve">Histogramas de distribución de IGM.  </w:t>
      </w:r>
    </w:p>
    <w:p>
      <w:pPr>
        <w:pStyle w:val="ListBullet"/>
        <w:keepLines w:val="1"/>
        <w:widowControl w:val="1"/>
      </w:pPr>
      <w:r>
        <w:t>Gráficos de dispersión IGM vs. Pérdida_Anual_Actual, % gasto en ciberseguridad, etc.</w:t>
      </w:r>
    </w:p>
    <w:p>
      <w:r>
        <w:t>El objetivo es generar material directamente reutilizable en el reporte ejecutivo descrito en (f).</w:t>
      </w:r>
    </w:p>
    <w:p>
      <w:pPr>
        <w:pStyle w:val="Heading2"/>
        <w:keepNext/>
        <w:keepLines/>
      </w:pPr>
      <w:r>
        <w:rPr>
          <w:color w:val="0066CC"/>
        </w:rPr>
        <w:t>7. Consideraciones metodológicas</w:t>
      </w:r>
    </w:p>
    <w:p>
      <w:pPr>
        <w:pStyle w:val="ListBullet"/>
        <w:keepLines w:val="1"/>
        <w:keepNext w:val="1"/>
        <w:widowControl w:val="1"/>
      </w:pPr>
      <w:r>
        <w:t xml:space="preserve">Los códigos numéricos deben ser coherentes con la lógica de madurez (0 = ausencia, máximo = situación deseable).  </w:t>
      </w:r>
    </w:p>
    <w:p>
      <w:pPr>
        <w:pStyle w:val="ListBullet"/>
        <w:keepLines w:val="1"/>
        <w:keepNext w:val="1"/>
        <w:widowControl w:val="1"/>
      </w:pPr>
      <w:r>
        <w:t xml:space="preserve">La traducción de respuestas textuales a números debe mantenerse documentada para asegurar replicabilidad y comparabilidad.  </w:t>
      </w:r>
    </w:p>
    <w:p>
      <w:pPr>
        <w:pStyle w:val="ListBullet"/>
        <w:keepLines w:val="1"/>
        <w:widowControl w:val="1"/>
      </w:pPr>
      <w:r>
        <w:t>Cualquier análisis de ROI debe tratarse con prudencia: es preferible hablar de “indicadores de eficiencia” que de fórmulas mágicas.</w:t>
      </w:r>
    </w:p>
    <w:p>
      <w:r>
        <w:t>Esta plantilla pretende ser un esqueleto: el músculo vendrá de los datos reales y del juicio experto.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