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DE REPORTE EJECUTIVO EN POWERPOINT – GQM + PRAGMATIC</w:t>
      </w:r>
    </w:p>
    <w:p>
      <w:pPr>
        <w:pStyle w:val="Heading2"/>
        <w:keepNext/>
        <w:keepLines/>
      </w:pPr>
      <w:r>
        <w:rPr>
          <w:color w:val="0066CC"/>
        </w:rPr>
        <w:t>Diapositiva 1 — Portada</w:t>
      </w:r>
    </w:p>
    <w:p>
      <w:pPr>
        <w:pStyle w:val="ListBullet"/>
        <w:keepLines w:val="1"/>
        <w:keepNext w:val="1"/>
        <w:widowControl w:val="1"/>
      </w:pPr>
      <w:r>
        <w:t xml:space="preserve">Título: Indicadores MARGA‑ENS: de las metas a las métricas (GQM + PRAGMATIC) </w:t>
      </w:r>
    </w:p>
    <w:p>
      <w:pPr>
        <w:pStyle w:val="ListBullet"/>
        <w:keepLines w:val="1"/>
        <w:keepNext w:val="1"/>
        <w:widowControl w:val="1"/>
      </w:pPr>
      <w:r>
        <w:t xml:space="preserve">Subtítulo: Resultados de la encuesta nacional y evaluación de métricas  </w:t>
      </w:r>
    </w:p>
    <w:p>
      <w:pPr>
        <w:pStyle w:val="ListBullet"/>
        <w:keepLines w:val="1"/>
        <w:widowControl w:val="1"/>
      </w:pPr>
      <w:r>
        <w:t>Datos: fecha, organización, versión</w:t>
      </w:r>
    </w:p>
    <w:p>
      <w:pPr>
        <w:pStyle w:val="Heading2"/>
        <w:keepNext/>
        <w:keepLines/>
      </w:pPr>
      <w:r>
        <w:rPr>
          <w:color w:val="0066CC"/>
        </w:rPr>
        <w:t>Diapositiva 2 — Mensaje clave</w:t>
      </w:r>
    </w:p>
    <w:p>
      <w:pPr>
        <w:pStyle w:val="ListBullet"/>
        <w:keepLines w:val="1"/>
        <w:keepNext w:val="1"/>
        <w:widowControl w:val="1"/>
      </w:pPr>
      <w:r>
        <w:t xml:space="preserve">“Todas las métricas son iguales ante Excel, pero no todas tienen el mismo valor.”  </w:t>
      </w:r>
    </w:p>
    <w:p>
      <w:pPr>
        <w:pStyle w:val="ListBullet"/>
        <w:keepLines w:val="1"/>
        <w:widowControl w:val="1"/>
      </w:pPr>
      <w:r>
        <w:t>Objetivo: mostrar cómo GQM y PRAGMATIC nos ayudan a quedarnos con las métricas que importan.</w:t>
      </w:r>
    </w:p>
    <w:p>
      <w:pPr>
        <w:pStyle w:val="Heading2"/>
        <w:keepNext/>
        <w:keepLines/>
      </w:pPr>
      <w:r>
        <w:rPr>
          <w:color w:val="0066CC"/>
        </w:rPr>
        <w:t>Diapositiva 3 — Recordatorio del contexto ENS + IMC</w:t>
      </w:r>
    </w:p>
    <w:p>
      <w:pPr>
        <w:pStyle w:val="ListBullet"/>
        <w:keepLines w:val="1"/>
        <w:keepNext w:val="1"/>
        <w:widowControl w:val="1"/>
      </w:pPr>
      <w:r>
        <w:t xml:space="preserve">Resumen de ENS (implantación, ciclo de adecuación, reporting).[web:26][web:19]  </w:t>
      </w:r>
    </w:p>
    <w:p>
      <w:pPr>
        <w:pStyle w:val="ListBullet"/>
        <w:keepLines w:val="1"/>
        <w:keepNext w:val="1"/>
        <w:widowControl w:val="1"/>
      </w:pPr>
      <w:r>
        <w:t xml:space="preserve">Resumen del modelo IMC (metas A,R,Rec,E; dominios; métricas e indicadores).[web:49][web:27][web:52]  </w:t>
      </w:r>
    </w:p>
    <w:p>
      <w:pPr>
        <w:pStyle w:val="ListBullet"/>
        <w:keepLines w:val="1"/>
        <w:widowControl w:val="1"/>
      </w:pPr>
      <w:r>
        <w:t>Diagrama que relacione ENS, IMC y MARGA‑ENS.</w:t>
      </w:r>
    </w:p>
    <w:p>
      <w:pPr>
        <w:pStyle w:val="Heading2"/>
        <w:keepNext/>
        <w:keepLines/>
      </w:pPr>
      <w:r>
        <w:rPr>
          <w:color w:val="0066CC"/>
        </w:rPr>
        <w:t>Diapositiva 4 — GQM en una lámina</w:t>
      </w:r>
    </w:p>
    <w:p>
      <w:pPr>
        <w:pStyle w:val="ListBullet"/>
        <w:keepLines w:val="1"/>
        <w:keepNext w:val="1"/>
        <w:widowControl w:val="1"/>
      </w:pPr>
      <w:r>
        <w:t xml:space="preserve">Definición breve: metas → preguntas → métricas.[web:41][web:45]  </w:t>
      </w:r>
    </w:p>
    <w:p>
      <w:pPr>
        <w:pStyle w:val="ListBullet"/>
        <w:keepLines w:val="1"/>
        <w:keepNext w:val="1"/>
        <w:widowControl w:val="1"/>
      </w:pPr>
      <w:r>
        <w:t xml:space="preserve">Ejemplo:  </w:t>
      </w:r>
    </w:p>
    <w:p>
      <w:pPr>
        <w:pStyle w:val="ListBullet"/>
        <w:keepLines w:val="1"/>
        <w:keepNext w:val="1"/>
        <w:widowControl w:val="1"/>
      </w:pPr>
      <w:r>
        <w:t xml:space="preserve">Meta: Reducir el impacto de incidentes.  </w:t>
      </w:r>
    </w:p>
    <w:p>
      <w:pPr>
        <w:pStyle w:val="ListBullet"/>
        <w:keepLines w:val="1"/>
        <w:keepNext w:val="1"/>
        <w:widowControl w:val="1"/>
      </w:pPr>
      <w:r>
        <w:t xml:space="preserve">Pregunta: ¿Cuánto tardamos en detectar?  </w:t>
      </w:r>
    </w:p>
    <w:p>
      <w:pPr>
        <w:pStyle w:val="ListBullet"/>
        <w:keepLines w:val="1"/>
        <w:keepNext w:val="1"/>
        <w:widowControl w:val="1"/>
      </w:pPr>
      <w:r>
        <w:t xml:space="preserve">Métrica: MTTD.  </w:t>
      </w:r>
    </w:p>
    <w:p>
      <w:pPr>
        <w:pStyle w:val="ListBullet"/>
        <w:keepLines w:val="1"/>
        <w:widowControl w:val="1"/>
      </w:pPr>
      <w:r>
        <w:t>Esquema visual top‑down.</w:t>
      </w:r>
    </w:p>
    <w:p>
      <w:pPr>
        <w:pStyle w:val="Heading2"/>
        <w:keepNext/>
        <w:keepLines/>
      </w:pPr>
      <w:r>
        <w:rPr>
          <w:color w:val="0066CC"/>
        </w:rPr>
        <w:t>Diapositiva 5 — PRAGMATIC en una lámina</w:t>
      </w:r>
    </w:p>
    <w:p>
      <w:pPr>
        <w:pStyle w:val="ListBullet"/>
        <w:keepLines w:val="1"/>
        <w:keepNext w:val="1"/>
        <w:widowControl w:val="1"/>
      </w:pPr>
      <w:r>
        <w:t xml:space="preserve">Lista de criterios: Predictiva, Relevante, Accionable, Genuina, Significativa, Precisa, Oportuna, Independiente, Rentable.[web:46][web:48][web:54][web:51]  </w:t>
      </w:r>
    </w:p>
    <w:p>
      <w:pPr>
        <w:pStyle w:val="ListBullet"/>
        <w:keepLines w:val="1"/>
        <w:widowControl w:val="1"/>
      </w:pPr>
      <w:r>
        <w:t>Idea central: “Si una métrica no cumple razonablemente estos criterios, es candidata a ser jubilada”.</w:t>
      </w:r>
    </w:p>
    <w:p>
      <w:pPr>
        <w:pStyle w:val="Heading2"/>
        <w:keepNext/>
        <w:keepLines/>
      </w:pPr>
      <w:r>
        <w:rPr>
          <w:color w:val="0066CC"/>
        </w:rPr>
        <w:t>Diapositiva 6 — Metas GQM MARGA‑ENS</w:t>
      </w:r>
    </w:p>
    <w:p>
      <w:pPr>
        <w:pStyle w:val="ListBullet"/>
        <w:keepLines w:val="1"/>
        <w:keepNext w:val="1"/>
        <w:widowControl w:val="1"/>
      </w:pPr>
      <w:r>
        <w:t xml:space="preserve">Tabla o gráfico con las metas G1–G7 (ENS, ciberresiliencia, operación, Zero Trust, cultura, riesgo, alineamiento).[web:26][web:49][web:7][web:33]  </w:t>
      </w:r>
    </w:p>
    <w:p>
      <w:pPr>
        <w:pStyle w:val="ListBullet"/>
        <w:keepLines w:val="1"/>
        <w:widowControl w:val="1"/>
      </w:pPr>
      <w:r>
        <w:t>Señalar cuáles se consideran prioritarias en el ciclo actual.</w:t>
      </w:r>
    </w:p>
    <w:p>
      <w:pPr>
        <w:pStyle w:val="Heading2"/>
        <w:keepNext/>
        <w:keepLines/>
      </w:pPr>
      <w:r>
        <w:rPr>
          <w:color w:val="0066CC"/>
        </w:rPr>
        <w:t>Diapositiva 7 — Ejemplo de cadena GQM</w:t>
      </w:r>
    </w:p>
    <w:p>
      <w:pPr>
        <w:pStyle w:val="ListBullet"/>
        <w:keepLines w:val="1"/>
        <w:keepNext w:val="1"/>
        <w:widowControl w:val="1"/>
      </w:pPr>
      <w:r>
        <w:t xml:space="preserve">Detalle de una meta (p. ej. G3 – Eficacia operativa).  </w:t>
      </w:r>
    </w:p>
    <w:p>
      <w:pPr>
        <w:pStyle w:val="ListBullet"/>
        <w:keepLines w:val="1"/>
        <w:keepNext w:val="1"/>
        <w:widowControl w:val="1"/>
      </w:pPr>
      <w:r>
        <w:t xml:space="preserve">Lista de preguntas (Q3.1–Q3.3).  </w:t>
      </w:r>
    </w:p>
    <w:p>
      <w:pPr>
        <w:pStyle w:val="ListBullet"/>
        <w:keepLines w:val="1"/>
        <w:keepNext w:val="1"/>
        <w:widowControl w:val="1"/>
      </w:pPr>
      <w:r>
        <w:t xml:space="preserve">Lista de métricas (MTTD, MTTR, parches críticos en SLA).  </w:t>
      </w:r>
    </w:p>
    <w:p>
      <w:pPr>
        <w:pStyle w:val="ListBullet"/>
        <w:keepLines w:val="1"/>
        <w:widowControl w:val="1"/>
      </w:pPr>
      <w:r>
        <w:t>Gráfico con resultados medios por sector para MTTD/MTTR.</w:t>
      </w:r>
    </w:p>
    <w:p>
      <w:pPr>
        <w:pStyle w:val="Heading2"/>
        <w:keepNext/>
        <w:keepLines/>
      </w:pPr>
      <w:r>
        <w:rPr>
          <w:color w:val="0066CC"/>
        </w:rPr>
        <w:t>Diapositiva 8 — PRAGMATIC: top 10 métricas</w:t>
      </w:r>
    </w:p>
    <w:p>
      <w:pPr>
        <w:pStyle w:val="ListBullet"/>
        <w:keepLines w:val="1"/>
        <w:keepNext w:val="1"/>
        <w:widowControl w:val="1"/>
      </w:pPr>
      <w:r>
        <w:t xml:space="preserve">Tabla resumen con 5–10 métricas con mayor puntuación PRAGMATIC (por ejemplo MTTD, MTTR, % pruebas continuidad exitosas, % medidas ENS implantadas).[web:46][web:48][web:54]  </w:t>
      </w:r>
    </w:p>
    <w:p>
      <w:pPr>
        <w:pStyle w:val="ListBullet"/>
        <w:keepLines w:val="1"/>
        <w:widowControl w:val="1"/>
      </w:pPr>
      <w:r>
        <w:t>Destacar que estas métricas serán el núcleo del cuadro de mando nacional.</w:t>
      </w:r>
    </w:p>
    <w:p>
      <w:pPr>
        <w:pStyle w:val="Heading2"/>
        <w:keepNext/>
        <w:keepLines/>
      </w:pPr>
      <w:r>
        <w:rPr>
          <w:color w:val="0066CC"/>
        </w:rPr>
        <w:t>Diapositiva 9 — PRAGMATIC: métricas débiles</w:t>
      </w:r>
    </w:p>
    <w:p>
      <w:pPr>
        <w:pStyle w:val="ListBullet"/>
        <w:keepLines w:val="1"/>
        <w:keepNext w:val="1"/>
        <w:widowControl w:val="1"/>
      </w:pPr>
      <w:r>
        <w:t xml:space="preserve">Tabla con algunas métricas de baja puntuación (por ejemplo estimaciones toscas de ROI o pérdidas sin método riguroso).  </w:t>
      </w:r>
    </w:p>
    <w:p>
      <w:pPr>
        <w:pStyle w:val="ListBullet"/>
        <w:keepLines w:val="1"/>
        <w:widowControl w:val="1"/>
      </w:pPr>
      <w:r>
        <w:t>Mensaje: “No desaparecen, pero necesitan o bien mejor definición, o bien uso prudente”.</w:t>
      </w:r>
    </w:p>
    <w:p>
      <w:pPr>
        <w:pStyle w:val="Heading2"/>
        <w:keepNext/>
        <w:keepLines/>
      </w:pPr>
      <w:r>
        <w:rPr>
          <w:color w:val="0066CC"/>
        </w:rPr>
        <w:t>Diapositiva 10 — IGM y subíndices ponderados</w:t>
      </w:r>
    </w:p>
    <w:p>
      <w:pPr>
        <w:pStyle w:val="ListBullet"/>
        <w:keepLines w:val="1"/>
        <w:keepNext w:val="1"/>
        <w:widowControl w:val="1"/>
      </w:pPr>
      <w:r>
        <w:t xml:space="preserve">Gráfico de subíndices por meta GQM (G1–G7).  </w:t>
      </w:r>
    </w:p>
    <w:p>
      <w:pPr>
        <w:pStyle w:val="ListBullet"/>
        <w:keepLines w:val="1"/>
        <w:widowControl w:val="1"/>
      </w:pPr>
      <w:r>
        <w:t>Nota: “Las metas con métricas más PRAGMATIC‑robustas aportan más confianza a la lectura del IGM”.</w:t>
      </w:r>
    </w:p>
    <w:p>
      <w:pPr>
        <w:pStyle w:val="Heading2"/>
        <w:keepNext/>
        <w:keepLines/>
      </w:pPr>
      <w:r>
        <w:rPr>
          <w:color w:val="0066CC"/>
        </w:rPr>
        <w:t>Diapositiva 11 — IGM vs. ROI</w:t>
      </w:r>
    </w:p>
    <w:p>
      <w:pPr>
        <w:pStyle w:val="ListBullet"/>
        <w:keepLines w:val="1"/>
        <w:keepNext w:val="1"/>
        <w:widowControl w:val="1"/>
      </w:pPr>
      <w:r>
        <w:t xml:space="preserve">Gráfico de dispersión IGM vs. ROI estimado, por sectores.  </w:t>
      </w:r>
    </w:p>
    <w:p>
      <w:pPr>
        <w:pStyle w:val="ListBullet"/>
        <w:keepLines w:val="1"/>
        <w:widowControl w:val="1"/>
      </w:pPr>
      <w:r>
        <w:t>Mensaje: “Se empieza a ver una correlación entre madurez (IGM) y capacidad de controlar pérdidas, aunque con ruido”.</w:t>
      </w:r>
    </w:p>
    <w:p>
      <w:pPr>
        <w:pStyle w:val="Heading2"/>
        <w:keepNext/>
        <w:keepLines/>
      </w:pPr>
      <w:r>
        <w:rPr>
          <w:color w:val="0066CC"/>
        </w:rPr>
        <w:t>Diapositiva 12 — Recomendaciones</w:t>
      </w:r>
    </w:p>
    <w:p>
      <w:pPr>
        <w:pStyle w:val="ListBullet"/>
        <w:keepLines w:val="1"/>
        <w:keepNext w:val="1"/>
        <w:widowControl w:val="1"/>
      </w:pPr>
      <w:r>
        <w:t xml:space="preserve">Para responsables de seguridad:  </w:t>
      </w:r>
    </w:p>
    <w:p>
      <w:pPr>
        <w:pStyle w:val="ListBullet"/>
        <w:keepLines w:val="1"/>
        <w:keepNext w:val="1"/>
        <w:widowControl w:val="1"/>
      </w:pPr>
      <w:r>
        <w:t xml:space="preserve">Revisar métricas internas con PRAGMATIC y eliminar las que no aportan valor.  </w:t>
      </w:r>
    </w:p>
    <w:p>
      <w:pPr>
        <w:pStyle w:val="ListBullet"/>
        <w:keepLines w:val="1"/>
        <w:keepNext w:val="1"/>
        <w:widowControl w:val="1"/>
      </w:pPr>
      <w:r>
        <w:t xml:space="preserve">Añadir al cuadro de mando indicadores IMC y ENS clave.[web:49][web:26][web:33]  </w:t>
      </w:r>
    </w:p>
    <w:p>
      <w:pPr>
        <w:pStyle w:val="ListBullet"/>
        <w:keepLines w:val="1"/>
        <w:keepNext w:val="1"/>
        <w:widowControl w:val="1"/>
      </w:pPr>
      <w:r>
        <w:t xml:space="preserve">Para reguladores/políticas públicas:  </w:t>
      </w:r>
    </w:p>
    <w:p>
      <w:pPr>
        <w:pStyle w:val="ListBullet"/>
        <w:keepLines w:val="1"/>
        <w:keepNext w:val="1"/>
        <w:widowControl w:val="1"/>
      </w:pPr>
      <w:r>
        <w:t xml:space="preserve">Promover plantillas GQM/PRAGMATIC de referencia sectorial.  </w:t>
      </w:r>
    </w:p>
    <w:p>
      <w:pPr>
        <w:pStyle w:val="ListBullet"/>
        <w:keepLines w:val="1"/>
        <w:widowControl w:val="1"/>
      </w:pPr>
      <w:r>
        <w:t>Integrar IMC y ENS en un marco de indicadores común.</w:t>
      </w:r>
    </w:p>
    <w:p>
      <w:pPr>
        <w:pStyle w:val="Heading2"/>
        <w:keepNext/>
        <w:keepLines/>
      </w:pPr>
      <w:r>
        <w:rPr>
          <w:color w:val="0066CC"/>
        </w:rPr>
        <w:t>Diapositiva 13 — Roadmap</w:t>
      </w:r>
    </w:p>
    <w:p>
      <w:pPr>
        <w:pStyle w:val="ListBullet"/>
        <w:keepLines w:val="1"/>
        <w:keepNext w:val="1"/>
        <w:widowControl w:val="1"/>
      </w:pPr>
      <w:r>
        <w:t xml:space="preserve">Fases sugeridas:  </w:t>
      </w:r>
    </w:p>
    <w:p>
      <w:pPr>
        <w:pStyle w:val="ListBullet"/>
        <w:keepLines w:val="1"/>
        <w:keepNext w:val="1"/>
        <w:widowControl w:val="1"/>
      </w:pPr>
      <w:r>
        <w:t xml:space="preserve">Inventario de métricas actuales.  </w:t>
      </w:r>
    </w:p>
    <w:p>
      <w:pPr>
        <w:pStyle w:val="ListBullet"/>
        <w:keepLines w:val="1"/>
        <w:keepNext w:val="1"/>
        <w:widowControl w:val="1"/>
      </w:pPr>
      <w:r>
        <w:t xml:space="preserve">Mapeo GQM.  </w:t>
      </w:r>
    </w:p>
    <w:p>
      <w:pPr>
        <w:pStyle w:val="ListBullet"/>
        <w:keepLines w:val="1"/>
        <w:keepNext w:val="1"/>
        <w:widowControl w:val="1"/>
      </w:pPr>
      <w:r>
        <w:t xml:space="preserve">Evaluación PRAGMATIC.  </w:t>
      </w:r>
    </w:p>
    <w:p>
      <w:pPr>
        <w:pStyle w:val="ListBullet"/>
        <w:keepLines w:val="1"/>
        <w:keepNext w:val="1"/>
        <w:widowControl w:val="1"/>
      </w:pPr>
      <w:r>
        <w:t xml:space="preserve">Limpieza y consolidación.  </w:t>
      </w:r>
    </w:p>
    <w:p>
      <w:pPr>
        <w:pStyle w:val="ListBullet"/>
        <w:keepLines w:val="1"/>
        <w:widowControl w:val="1"/>
      </w:pPr>
      <w:r>
        <w:t>Integración en IGM y reporting nacional.</w:t>
      </w:r>
    </w:p>
    <w:p>
      <w:pPr>
        <w:pStyle w:val="Heading2"/>
        <w:keepNext/>
        <w:keepLines/>
      </w:pPr>
      <w:r>
        <w:rPr>
          <w:color w:val="0066CC"/>
        </w:rPr>
        <w:t>Diapositiva 14 — Cierre</w:t>
      </w:r>
    </w:p>
    <w:p>
      <w:pPr>
        <w:pStyle w:val="ListBullet"/>
        <w:keepLines w:val="1"/>
        <w:keepNext w:val="1"/>
        <w:widowControl w:val="1"/>
      </w:pPr>
      <w:r>
        <w:t xml:space="preserve">“Medir por medir es burocracia; medir con GQM + PRAGMATIC es estrategia.”  </w:t>
      </w:r>
    </w:p>
    <w:p>
      <w:pPr>
        <w:pStyle w:val="ListBullet"/>
        <w:keepLines w:val="1"/>
        <w:widowControl w:val="1"/>
      </w:pPr>
      <w:r>
        <w:t>Próximos pasos: nueva edición de la encuesta, revisión de metas, acompañamiento sectorial.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