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(f) PLANTILLA DE REPORTE EJECUTIVO EN POWERPOINT (DESCRITA EN MARKDOWN)</w:t>
      </w:r>
    </w:p>
    <w:p>
      <w:pPr>
        <w:pStyle w:val="Heading2"/>
        <w:keepNext/>
        <w:keepLines/>
      </w:pPr>
      <w:r>
        <w:rPr>
          <w:color w:val="0066CC"/>
        </w:rPr>
        <w:t>Diapositiva 1 — Portada</w:t>
      </w:r>
    </w:p>
    <w:p>
      <w:pPr>
        <w:pStyle w:val="ListBullet"/>
        <w:keepLines w:val="1"/>
        <w:keepNext w:val="1"/>
        <w:widowControl w:val="1"/>
      </w:pPr>
      <w:r>
        <w:t xml:space="preserve">Título: Informe Ejecutivo MARGA‑ENS sobre Indicadores y Ciberresiliencia </w:t>
      </w:r>
    </w:p>
    <w:p>
      <w:pPr>
        <w:pStyle w:val="ListBullet"/>
        <w:keepLines w:val="1"/>
        <w:keepNext w:val="1"/>
        <w:widowControl w:val="1"/>
      </w:pPr>
      <w:r>
        <w:t xml:space="preserve">Subtítulo: Resultados de la encuesta nacional a organizaciones ENS y afines  </w:t>
      </w:r>
    </w:p>
    <w:p>
      <w:pPr>
        <w:pStyle w:val="ListBullet"/>
        <w:keepLines w:val="1"/>
        <w:keepNext w:val="1"/>
        <w:widowControl w:val="1"/>
      </w:pPr>
      <w:r>
        <w:t xml:space="preserve">Datos: Fecha, versión, entidad responsable  </w:t>
      </w:r>
    </w:p>
    <w:p>
      <w:pPr>
        <w:pStyle w:val="ListBullet"/>
        <w:keepLines w:val="1"/>
        <w:widowControl w:val="1"/>
      </w:pPr>
      <w:r>
        <w:t>Nota al margen: “Porque sin indicadores, la intuición es solo una superstición con corbata.”</w:t>
      </w:r>
    </w:p>
    <w:p>
      <w:pPr>
        <w:pStyle w:val="Heading2"/>
        <w:keepNext/>
        <w:keepLines/>
      </w:pPr>
      <w:r>
        <w:rPr>
          <w:color w:val="0066CC"/>
        </w:rPr>
        <w:t>Diapositiva 2 — Índice</w:t>
      </w:r>
    </w:p>
    <w:p>
      <w:pPr>
        <w:pStyle w:val="ListNumber"/>
        <w:keepLines w:val="1"/>
        <w:keepNext w:val="1"/>
        <w:widowControl w:val="1"/>
      </w:pPr>
      <w:r>
        <w:t xml:space="preserve">Contexto y objetivos  </w:t>
      </w:r>
    </w:p>
    <w:p>
      <w:pPr>
        <w:pStyle w:val="ListNumber"/>
        <w:keepLines w:val="1"/>
        <w:keepNext w:val="1"/>
        <w:widowControl w:val="1"/>
      </w:pPr>
      <w:r>
        <w:t xml:space="preserve">Perfil de las organizaciones participantes  </w:t>
      </w:r>
    </w:p>
    <w:p>
      <w:pPr>
        <w:pStyle w:val="ListNumber"/>
        <w:keepLines w:val="1"/>
        <w:keepNext w:val="1"/>
        <w:widowControl w:val="1"/>
      </w:pPr>
      <w:r>
        <w:t xml:space="preserve">Nivel de madurez en gobernanza ENS  </w:t>
      </w:r>
    </w:p>
    <w:p>
      <w:pPr>
        <w:pStyle w:val="ListNumber"/>
        <w:keepLines w:val="1"/>
        <w:keepNext w:val="1"/>
        <w:widowControl w:val="1"/>
      </w:pPr>
      <w:r>
        <w:t xml:space="preserve">Ciberresiliencia según IMC  </w:t>
      </w:r>
    </w:p>
    <w:p>
      <w:pPr>
        <w:pStyle w:val="ListNumber"/>
        <w:keepLines w:val="1"/>
        <w:keepNext w:val="1"/>
        <w:widowControl w:val="1"/>
      </w:pPr>
      <w:r>
        <w:t xml:space="preserve">Eficacia operativa (vulnerabilidades, incidentes, MTTD/MTTR)  </w:t>
      </w:r>
    </w:p>
    <w:p>
      <w:pPr>
        <w:pStyle w:val="ListNumber"/>
        <w:keepLines w:val="1"/>
        <w:keepNext w:val="1"/>
        <w:widowControl w:val="1"/>
      </w:pPr>
      <w:r>
        <w:t xml:space="preserve">Arquitectura y Zero Trust  </w:t>
      </w:r>
    </w:p>
    <w:p>
      <w:pPr>
        <w:pStyle w:val="ListNumber"/>
        <w:keepLines w:val="1"/>
        <w:keepNext w:val="1"/>
        <w:widowControl w:val="1"/>
      </w:pPr>
      <w:r>
        <w:t xml:space="preserve">Cultura, formación y continuidad  </w:t>
      </w:r>
    </w:p>
    <w:p>
      <w:pPr>
        <w:pStyle w:val="ListNumber"/>
        <w:keepLines w:val="1"/>
        <w:keepNext w:val="1"/>
        <w:widowControl w:val="1"/>
      </w:pPr>
      <w:r>
        <w:t xml:space="preserve">Índice Global de Madurez (IGM) y ROI  </w:t>
      </w:r>
    </w:p>
    <w:p>
      <w:pPr>
        <w:pStyle w:val="ListNumber"/>
        <w:keepLines w:val="1"/>
        <w:widowControl w:val="1"/>
      </w:pPr>
      <w:r>
        <w:t>Conclusiones y recomendaciones</w:t>
      </w:r>
    </w:p>
    <w:p>
      <w:pPr>
        <w:pStyle w:val="Heading2"/>
        <w:keepNext/>
        <w:keepLines/>
      </w:pPr>
      <w:r>
        <w:rPr>
          <w:color w:val="0066CC"/>
        </w:rPr>
        <w:t>Diapositiva 3 — Contexto y objetivos</w:t>
      </w:r>
    </w:p>
    <w:p>
      <w:pPr>
        <w:pStyle w:val="ListBullet"/>
        <w:keepLines w:val="1"/>
        <w:keepNext w:val="1"/>
        <w:widowControl w:val="1"/>
      </w:pPr>
      <w:r>
        <w:t xml:space="preserve">Resumen del ENS, IMC y marcos reguladores (ENS, NIS2, DORA, etc.).[web:26][web:27][web:12]  </w:t>
      </w:r>
    </w:p>
    <w:p>
      <w:pPr>
        <w:pStyle w:val="ListBullet"/>
        <w:keepLines w:val="1"/>
        <w:keepNext w:val="1"/>
        <w:widowControl w:val="1"/>
      </w:pPr>
      <w:r>
        <w:t xml:space="preserve">Razones para medir indicadores de ciberseguridad y ciberresiliencia.  </w:t>
      </w:r>
    </w:p>
    <w:p>
      <w:pPr>
        <w:pStyle w:val="ListBullet"/>
        <w:keepLines w:val="1"/>
        <w:widowControl w:val="1"/>
      </w:pPr>
      <w:r>
        <w:t>Objetivo de la encuesta: evaluar el grado de adopción y uso de indicadores alineados con el marco MARGA‑ENS.</w:t>
      </w:r>
    </w:p>
    <w:p>
      <w:r>
        <w:t>Visual: diagrama conceptual simple relacionando ENS, IMC, KPIs/KRIs y decisiones de negocio.</w:t>
      </w:r>
    </w:p>
    <w:p>
      <w:pPr>
        <w:pStyle w:val="Heading2"/>
        <w:keepNext/>
        <w:keepLines/>
      </w:pPr>
      <w:r>
        <w:rPr>
          <w:color w:val="0066CC"/>
        </w:rPr>
        <w:t>Diapositiva 4 — Perfil de organizaciones participantes</w:t>
      </w:r>
    </w:p>
    <w:p>
      <w:pPr>
        <w:pStyle w:val="ListBullet"/>
        <w:keepLines w:val="1"/>
        <w:keepNext w:val="1"/>
        <w:widowControl w:val="1"/>
      </w:pPr>
      <w:r>
        <w:t xml:space="preserve">Gráfico de barras: distribución por sector.  </w:t>
      </w:r>
    </w:p>
    <w:p>
      <w:pPr>
        <w:pStyle w:val="ListBullet"/>
        <w:keepLines w:val="1"/>
        <w:keepNext w:val="1"/>
        <w:widowControl w:val="1"/>
      </w:pPr>
      <w:r>
        <w:t xml:space="preserve">Gráfico de barras: distribución por tamaño.  </w:t>
      </w:r>
    </w:p>
    <w:p>
      <w:pPr>
        <w:pStyle w:val="ListBullet"/>
        <w:keepLines w:val="1"/>
        <w:widowControl w:val="1"/>
      </w:pPr>
      <w:r>
        <w:t>Comentario: breve análisis (ej. “predominio de entidades públicas de tamaño medio-alto”, etc.).</w:t>
      </w:r>
    </w:p>
    <w:p>
      <w:pPr>
        <w:pStyle w:val="Heading2"/>
        <w:keepNext/>
        <w:keepLines/>
      </w:pPr>
      <w:r>
        <w:rPr>
          <w:color w:val="0066CC"/>
        </w:rPr>
        <w:t>Diapositiva 5 — Madurez en gobernanza ENS</w:t>
      </w:r>
    </w:p>
    <w:p>
      <w:pPr>
        <w:pStyle w:val="ListBullet"/>
        <w:keepLines w:val="1"/>
        <w:keepNext w:val="1"/>
        <w:widowControl w:val="1"/>
      </w:pPr>
      <w:r>
        <w:t xml:space="preserve">Gráfico: porcentaje de organizaciones con alcance definido, sistemas categorizados y DoA aprobada.  </w:t>
      </w:r>
    </w:p>
    <w:p>
      <w:pPr>
        <w:pStyle w:val="ListBullet"/>
        <w:keepLines w:val="1"/>
        <w:keepNext w:val="1"/>
        <w:widowControl w:val="1"/>
      </w:pPr>
      <w:r>
        <w:t xml:space="preserve">Gráfico: frecuencia de revisión de políticas de seguridad.  </w:t>
      </w:r>
    </w:p>
    <w:p>
      <w:pPr>
        <w:pStyle w:val="ListBullet"/>
        <w:keepLines w:val="1"/>
        <w:widowControl w:val="1"/>
      </w:pPr>
      <w:r>
        <w:t>Mensaje clave: “El andamiaje normativo existe, pero su actualización y seguimiento es irregular” (o lo que digan los datos).</w:t>
      </w:r>
    </w:p>
    <w:p>
      <w:pPr>
        <w:pStyle w:val="Heading2"/>
        <w:keepNext/>
        <w:keepLines/>
      </w:pPr>
      <w:r>
        <w:rPr>
          <w:color w:val="0066CC"/>
        </w:rPr>
        <w:t>Diapositiva 6 — Gestión de riesgos e indicadores</w:t>
      </w:r>
    </w:p>
    <w:p>
      <w:pPr>
        <w:pStyle w:val="ListBullet"/>
        <w:keepLines w:val="1"/>
        <w:keepNext w:val="1"/>
        <w:widowControl w:val="1"/>
      </w:pPr>
      <w:r>
        <w:t xml:space="preserve">Gráfico: porcentaje de organizaciones con análisis de riesgos formal y periódico.  </w:t>
      </w:r>
    </w:p>
    <w:p>
      <w:pPr>
        <w:pStyle w:val="ListBullet"/>
        <w:keepLines w:val="1"/>
        <w:keepNext w:val="1"/>
        <w:widowControl w:val="1"/>
      </w:pPr>
      <w:r>
        <w:t xml:space="preserve">Gráfico: existencia de cuadro de mando y frecuencia de reporting a la Alta Dirección.[web:19][web:16]  </w:t>
      </w:r>
    </w:p>
    <w:p>
      <w:pPr>
        <w:pStyle w:val="ListBullet"/>
        <w:keepLines w:val="1"/>
        <w:widowControl w:val="1"/>
      </w:pPr>
      <w:r>
        <w:t>Mensaje clave: “El ENS pide métricas; una parte significativa aún informa más por narrativas que por indicadores.”</w:t>
      </w:r>
    </w:p>
    <w:p>
      <w:pPr>
        <w:pStyle w:val="Heading2"/>
        <w:keepNext/>
        <w:keepLines/>
      </w:pPr>
      <w:r>
        <w:rPr>
          <w:color w:val="0066CC"/>
        </w:rPr>
        <w:t>Diapositiva 7 — Ciberresiliencia según IMC</w:t>
      </w:r>
    </w:p>
    <w:p>
      <w:pPr>
        <w:pStyle w:val="ListBullet"/>
        <w:keepLines w:val="1"/>
        <w:keepNext w:val="1"/>
        <w:widowControl w:val="1"/>
      </w:pPr>
      <w:r>
        <w:t xml:space="preserve">Gráfico: conocimiento y uso del modelo IMC (usado, conocido, desconocido).[web:27][web:35]  </w:t>
      </w:r>
    </w:p>
    <w:p>
      <w:pPr>
        <w:pStyle w:val="ListBullet"/>
        <w:keepLines w:val="1"/>
        <w:keepNext w:val="1"/>
        <w:widowControl w:val="1"/>
      </w:pPr>
      <w:r>
        <w:t xml:space="preserve">Radar o barras: madurez media por meta (Anticipar, Resistir, Recuperar, Evolucionar).  </w:t>
      </w:r>
    </w:p>
    <w:p>
      <w:pPr>
        <w:pStyle w:val="ListBullet"/>
        <w:keepLines w:val="1"/>
        <w:widowControl w:val="1"/>
      </w:pPr>
      <w:r>
        <w:t>Mensaje clave: “El discurso de ciberresiliencia se conoce, pero la medición por metas es desigual (p. ej. más proteger que recuperar).”</w:t>
      </w:r>
    </w:p>
    <w:p>
      <w:pPr>
        <w:pStyle w:val="Heading2"/>
        <w:keepNext/>
        <w:keepLines/>
      </w:pPr>
      <w:r>
        <w:rPr>
          <w:color w:val="0066CC"/>
        </w:rPr>
        <w:t>Diapositiva 8 — Eficacia operativa (vulnerabilidades e incidentes)</w:t>
      </w:r>
    </w:p>
    <w:p>
      <w:pPr>
        <w:pStyle w:val="ListBullet"/>
        <w:keepLines w:val="1"/>
        <w:keepNext w:val="1"/>
        <w:widowControl w:val="1"/>
      </w:pPr>
      <w:r>
        <w:t xml:space="preserve">Gráfico: tiempos de parcheado de vulnerabilidades críticas.  </w:t>
      </w:r>
    </w:p>
    <w:p>
      <w:pPr>
        <w:pStyle w:val="ListBullet"/>
        <w:keepLines w:val="1"/>
        <w:keepNext w:val="1"/>
        <w:widowControl w:val="1"/>
      </w:pPr>
      <w:r>
        <w:t xml:space="preserve">Gráfico: existencia y uso de registros de incidentes (con impactos medidos).  </w:t>
      </w:r>
    </w:p>
    <w:p>
      <w:pPr>
        <w:pStyle w:val="ListBullet"/>
        <w:keepLines w:val="1"/>
        <w:widowControl w:val="1"/>
      </w:pPr>
      <w:r>
        <w:t>Mensaje clave: “Se parchea, pero no siempre al ritmo que querríamos, y los incidentes no siempre se traducen en lecciones cuantificadas.”</w:t>
      </w:r>
    </w:p>
    <w:p>
      <w:pPr>
        <w:pStyle w:val="Heading2"/>
        <w:keepNext/>
        <w:keepLines/>
      </w:pPr>
      <w:r>
        <w:rPr>
          <w:color w:val="0066CC"/>
        </w:rPr>
        <w:t>Diapositiva 9 — Detección y respuesta (MTTD/MTTR)</w:t>
      </w:r>
    </w:p>
    <w:p>
      <w:pPr>
        <w:pStyle w:val="ListBullet"/>
        <w:keepLines w:val="1"/>
        <w:keepNext w:val="1"/>
        <w:widowControl w:val="1"/>
      </w:pPr>
      <w:r>
        <w:t xml:space="preserve">Gráfico: distribución de MTTD (minutos, horas, días, semanas).  </w:t>
      </w:r>
    </w:p>
    <w:p>
      <w:pPr>
        <w:pStyle w:val="ListBullet"/>
        <w:keepLines w:val="1"/>
        <w:keepNext w:val="1"/>
        <w:widowControl w:val="1"/>
      </w:pPr>
      <w:r>
        <w:t xml:space="preserve">Gráfico: distribución de MTTR.  </w:t>
      </w:r>
    </w:p>
    <w:p>
      <w:pPr>
        <w:pStyle w:val="ListBullet"/>
        <w:keepLines w:val="1"/>
        <w:widowControl w:val="1"/>
      </w:pPr>
      <w:r>
        <w:t>Mensaje clave: “Medir MTTD y MTTR deja de ser lujo y pasa a ser condición para hablar de resiliencia con seriedad.”</w:t>
      </w:r>
    </w:p>
    <w:p>
      <w:pPr>
        <w:pStyle w:val="Heading2"/>
        <w:keepNext/>
        <w:keepLines/>
      </w:pPr>
      <w:r>
        <w:rPr>
          <w:color w:val="0066CC"/>
        </w:rPr>
        <w:t>Diapositiva 10 — Arquitectura y Zero Trust</w:t>
      </w:r>
    </w:p>
    <w:p>
      <w:pPr>
        <w:pStyle w:val="ListBullet"/>
        <w:keepLines w:val="1"/>
        <w:keepNext w:val="1"/>
        <w:widowControl w:val="1"/>
      </w:pPr>
      <w:r>
        <w:t xml:space="preserve">Indicadores clave: porcentaje de organizaciones con plan de Zero Trust, uso de MFA, segmentación, etc.[web:6][web:14][web:10]  </w:t>
      </w:r>
    </w:p>
    <w:p>
      <w:pPr>
        <w:pStyle w:val="ListBullet"/>
        <w:keepLines w:val="1"/>
        <w:keepNext w:val="1"/>
        <w:widowControl w:val="1"/>
      </w:pPr>
      <w:r>
        <w:t xml:space="preserve">Gráfico: nivel de madurez arquitectónica (básico, intermedio, avanzado).  </w:t>
      </w:r>
    </w:p>
    <w:p>
      <w:pPr>
        <w:pStyle w:val="ListBullet"/>
        <w:keepLines w:val="1"/>
        <w:widowControl w:val="1"/>
      </w:pPr>
      <w:r>
        <w:t>Mensaje clave: “El término Zero Trust se pronuncia más que se practica; algunos ladrillos están puestos, la casa completa aún no.”</w:t>
      </w:r>
    </w:p>
    <w:p>
      <w:pPr>
        <w:pStyle w:val="Heading2"/>
        <w:keepNext/>
        <w:keepLines/>
      </w:pPr>
      <w:r>
        <w:rPr>
          <w:color w:val="0066CC"/>
        </w:rPr>
        <w:t>Diapositiva 11 — Cultura, formación y continuidad</w:t>
      </w:r>
    </w:p>
    <w:p>
      <w:pPr>
        <w:pStyle w:val="ListBullet"/>
        <w:keepLines w:val="1"/>
        <w:keepNext w:val="1"/>
        <w:widowControl w:val="1"/>
      </w:pPr>
      <w:r>
        <w:t xml:space="preserve">Gráfico: existencia de planes de formación y métricas asociadas.  </w:t>
      </w:r>
    </w:p>
    <w:p>
      <w:pPr>
        <w:pStyle w:val="ListBullet"/>
        <w:keepLines w:val="1"/>
        <w:keepNext w:val="1"/>
        <w:widowControl w:val="1"/>
      </w:pPr>
      <w:r>
        <w:t xml:space="preserve">Gráfico: existencia y pruebas de BCP/DRP.[web:26][web:30]  </w:t>
      </w:r>
    </w:p>
    <w:p>
      <w:pPr>
        <w:pStyle w:val="ListBullet"/>
        <w:keepLines w:val="1"/>
        <w:widowControl w:val="1"/>
      </w:pPr>
      <w:r>
        <w:t>Mensaje clave: “Formar se forma, pero medir el impacto formativo es todavía minoritario; los planes se prueban menos de lo deseable.”</w:t>
      </w:r>
    </w:p>
    <w:p>
      <w:pPr>
        <w:pStyle w:val="Heading2"/>
        <w:keepNext/>
        <w:keepLines/>
      </w:pPr>
      <w:r>
        <w:rPr>
          <w:color w:val="0066CC"/>
        </w:rPr>
        <w:t>Diapositiva 12 — IGM: Índice Global de Madurez</w:t>
      </w:r>
    </w:p>
    <w:p>
      <w:pPr>
        <w:pStyle w:val="ListBullet"/>
        <w:keepLines w:val="1"/>
        <w:keepNext w:val="1"/>
        <w:widowControl w:val="1"/>
      </w:pPr>
      <w:r>
        <w:t xml:space="preserve">Fórmula simplificada del IGM (sin entrar en detalles excesivos).  </w:t>
      </w:r>
    </w:p>
    <w:p>
      <w:pPr>
        <w:pStyle w:val="ListBullet"/>
        <w:keepLines w:val="1"/>
        <w:keepNext w:val="1"/>
        <w:widowControl w:val="1"/>
      </w:pPr>
      <w:r>
        <w:t xml:space="preserve">Gráfico: distribución del IGM (histograma o cajas por sector).  </w:t>
      </w:r>
    </w:p>
    <w:p>
      <w:pPr>
        <w:pStyle w:val="ListBullet"/>
        <w:keepLines w:val="1"/>
        <w:keepNext w:val="1"/>
        <w:widowControl w:val="1"/>
      </w:pPr>
      <w:r>
        <w:t xml:space="preserve">Gráfico: clasificación por niveles (I–V).  </w:t>
      </w:r>
    </w:p>
    <w:p>
      <w:pPr>
        <w:pStyle w:val="ListBullet"/>
        <w:keepLines w:val="1"/>
        <w:widowControl w:val="1"/>
      </w:pPr>
      <w:r>
        <w:t>Mensaje clave: “La foto país muestra una madurez media en tránsito entre lo básico y lo intermedio, con islas de excelencia.”</w:t>
      </w:r>
    </w:p>
    <w:p>
      <w:pPr>
        <w:pStyle w:val="Heading2"/>
        <w:keepNext/>
        <w:keepLines/>
      </w:pPr>
      <w:r>
        <w:rPr>
          <w:color w:val="0066CC"/>
        </w:rPr>
        <w:t>Diapositiva 13 — ROI y dimensión económica</w:t>
      </w:r>
    </w:p>
    <w:p>
      <w:pPr>
        <w:pStyle w:val="ListBullet"/>
        <w:keepLines w:val="1"/>
        <w:keepNext w:val="1"/>
        <w:widowControl w:val="1"/>
      </w:pPr>
      <w:r>
        <w:t xml:space="preserve">Gráfico: % de gasto TI dedicado a ciberseguridad vs. IGM.  </w:t>
      </w:r>
    </w:p>
    <w:p>
      <w:pPr>
        <w:pStyle w:val="ListBullet"/>
        <w:keepLines w:val="1"/>
        <w:keepNext w:val="1"/>
        <w:widowControl w:val="1"/>
      </w:pPr>
      <w:r>
        <w:t xml:space="preserve">Gráfico: aproximación de pérdidas estimadas vs. IGM.  </w:t>
      </w:r>
    </w:p>
    <w:p>
      <w:pPr>
        <w:pStyle w:val="ListBullet"/>
        <w:keepLines w:val="1"/>
        <w:widowControl w:val="1"/>
      </w:pPr>
      <w:r>
        <w:t>Mensaje clave: “Invertir no garantiza automáticamente menos riesgo, pero no medir el efecto de la inversión garantiza ignorancia presupuestaria.”</w:t>
      </w:r>
    </w:p>
    <w:p>
      <w:pPr>
        <w:pStyle w:val="Heading2"/>
        <w:keepNext/>
        <w:keepLines/>
      </w:pPr>
      <w:r>
        <w:rPr>
          <w:color w:val="0066CC"/>
        </w:rPr>
        <w:t>Diapositiva 14 — Conclusiones clave</w:t>
      </w:r>
    </w:p>
    <w:p>
      <w:r>
        <w:t>Listado de 4–6 ideas fuerza, por ejemplo:</w:t>
      </w:r>
    </w:p>
    <w:p>
      <w:pPr>
        <w:pStyle w:val="ListNumber"/>
        <w:keepLines w:val="1"/>
        <w:keepNext w:val="1"/>
        <w:widowControl w:val="1"/>
      </w:pPr>
      <w:r>
        <w:t xml:space="preserve">ENS bien conocido, medición ENS aún en desarrollo.  </w:t>
      </w:r>
    </w:p>
    <w:p>
      <w:pPr>
        <w:pStyle w:val="ListNumber"/>
        <w:keepLines w:val="1"/>
        <w:keepNext w:val="1"/>
        <w:widowControl w:val="1"/>
      </w:pPr>
      <w:r>
        <w:t xml:space="preserve">Ciberresiliencia presente en el discurso, desigual en la práctica.  </w:t>
      </w:r>
    </w:p>
    <w:p>
      <w:pPr>
        <w:pStyle w:val="ListNumber"/>
        <w:keepLines w:val="1"/>
        <w:keepNext w:val="1"/>
        <w:widowControl w:val="1"/>
      </w:pPr>
      <w:r>
        <w:t xml:space="preserve">Zero Trust avanza a ritmo moderado y con brechas de medición.  </w:t>
      </w:r>
    </w:p>
    <w:p>
      <w:pPr>
        <w:pStyle w:val="ListNumber"/>
        <w:keepLines w:val="1"/>
        <w:widowControl w:val="1"/>
      </w:pPr>
      <w:r>
        <w:t>ROI y riesgo económico: la gran asignatura pendiente para muchos.</w:t>
      </w:r>
    </w:p>
    <w:p>
      <w:pPr>
        <w:pStyle w:val="Heading2"/>
        <w:keepNext/>
        <w:keepLines/>
      </w:pPr>
      <w:r>
        <w:rPr>
          <w:color w:val="0066CC"/>
        </w:rPr>
        <w:t>Diapositiva 15 — Recomendaciones</w:t>
      </w:r>
    </w:p>
    <w:p>
      <w:pPr>
        <w:pStyle w:val="ListBullet"/>
        <w:keepLines w:val="1"/>
        <w:keepNext w:val="1"/>
        <w:widowControl w:val="1"/>
      </w:pPr>
      <w:r>
        <w:t xml:space="preserve">Para organizaciones con baja madurez: priorizar cuadro de mando básico, IMC simplificado y pruebas mínimas de continuidad.  </w:t>
      </w:r>
    </w:p>
    <w:p>
      <w:pPr>
        <w:pStyle w:val="ListBullet"/>
        <w:keepLines w:val="1"/>
        <w:keepNext w:val="1"/>
        <w:widowControl w:val="1"/>
      </w:pPr>
      <w:r>
        <w:t xml:space="preserve">Para organizaciones con madurez media: profundizar en IMC, Zero Trust y cuantificación económica.  </w:t>
      </w:r>
    </w:p>
    <w:p>
      <w:pPr>
        <w:pStyle w:val="ListBullet"/>
        <w:keepLines w:val="1"/>
        <w:widowControl w:val="1"/>
      </w:pPr>
      <w:r>
        <w:t>Para reguladores y policy‑makers: promover plantillas nacionales y guías prácticas sobre indicadores ENS e IMC.[web:27][web:19][web:20]</w:t>
      </w:r>
    </w:p>
    <w:p>
      <w:pPr>
        <w:pStyle w:val="Heading2"/>
        <w:keepNext/>
        <w:keepLines/>
      </w:pPr>
      <w:r>
        <w:rPr>
          <w:color w:val="0066CC"/>
        </w:rPr>
        <w:t>Diapositiva 16 — Cierre</w:t>
      </w:r>
    </w:p>
    <w:p>
      <w:pPr>
        <w:pStyle w:val="ListBullet"/>
        <w:keepLines w:val="1"/>
        <w:keepNext w:val="1"/>
        <w:widowControl w:val="1"/>
      </w:pPr>
      <w:r>
        <w:t xml:space="preserve">Mensaje final: “No se trata de inventar más normas, sino de medir mejor lo que ya declaramos hacer.”  </w:t>
      </w:r>
    </w:p>
    <w:p>
      <w:pPr>
        <w:pStyle w:val="ListBullet"/>
        <w:keepLines w:val="1"/>
        <w:widowControl w:val="1"/>
      </w:pPr>
      <w:r>
        <w:t>Contactos y próxima edición prevista de la encuesta.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