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(g) README DEL KIT DE ENCUESTA MARGA‑ENS</w:t>
      </w:r>
    </w:p>
    <w:p>
      <w:pPr>
        <w:pStyle w:val="Heading2"/>
        <w:keepNext/>
        <w:keepLines/>
      </w:pPr>
      <w:r>
        <w:rPr>
          <w:color w:val="0066CC"/>
        </w:rPr>
        <w:t>1. Descripción general</w:t>
      </w:r>
    </w:p>
    <w:p>
      <w:r>
        <w:t xml:space="preserve">El </w:t>
      </w:r>
      <w:r>
        <w:rPr>
          <w:b/>
        </w:rPr>
        <w:t>Kit de Encuesta MARGA‑ENS</w:t>
      </w:r>
      <w:r>
        <w:t xml:space="preserve"> es un conjunto de recursos para diseñar, administrar y explotar una encuesta sobre indicadores y métricas de ciberseguridad y ciberresiliencia en organizaciones alineadas con el Esquema Nacional de Seguridad (ENS) y el modelo IMC de INCIBE.[web:26][web:27][web:35]</w:t>
      </w:r>
    </w:p>
    <w:p>
      <w:r>
        <w:t>Su propósito es ayudar a:</w:t>
      </w:r>
    </w:p>
    <w:p>
      <w:pPr>
        <w:pStyle w:val="ListBullet"/>
        <w:keepLines w:val="1"/>
        <w:keepNext w:val="1"/>
        <w:widowControl w:val="1"/>
      </w:pPr>
      <w:r>
        <w:t xml:space="preserve">Diagnosticar el grado de uso de indicadores alineados con ENS e IMC.  </w:t>
      </w:r>
    </w:p>
    <w:p>
      <w:pPr>
        <w:pStyle w:val="ListBullet"/>
        <w:keepLines w:val="1"/>
        <w:keepNext w:val="1"/>
        <w:widowControl w:val="1"/>
      </w:pPr>
      <w:r>
        <w:t xml:space="preserve">Construir un Índice Global de Madurez (IGM) por organización/sector.  </w:t>
      </w:r>
    </w:p>
    <w:p>
      <w:pPr>
        <w:pStyle w:val="ListBullet"/>
        <w:keepLines w:val="1"/>
        <w:keepNext w:val="1"/>
        <w:widowControl w:val="1"/>
      </w:pPr>
      <w:r>
        <w:t xml:space="preserve">Explorar relaciones entre madurez, riesgo y retorno de inversión (ROI).  </w:t>
      </w:r>
    </w:p>
    <w:p>
      <w:pPr>
        <w:pStyle w:val="ListBullet"/>
        <w:keepLines w:val="1"/>
        <w:widowControl w:val="1"/>
      </w:pPr>
      <w:r>
        <w:t>Ofrecer insumos para decisiones estratégicas y políticas públicas.</w:t>
      </w:r>
    </w:p>
    <w:p>
      <w:pPr>
        <w:pStyle w:val="Heading2"/>
        <w:keepNext/>
        <w:keepLines/>
      </w:pPr>
      <w:r>
        <w:rPr>
          <w:color w:val="0066CC"/>
        </w:rPr>
        <w:t>2. Contenido del kit</w:t>
      </w:r>
    </w:p>
    <w:p>
      <w:r>
        <w:t>El kit está formado por los siguientes archivos Markdown (convertibles a los formatos que se deseen):</w:t>
      </w:r>
    </w:p>
    <w:p>
      <w:pPr>
        <w:pStyle w:val="ListNumber"/>
        <w:keepLines w:val="1"/>
        <w:keepNext w:val="1"/>
        <w:widowControl w:val="1"/>
      </w:pPr>
      <w:r>
        <w:t xml:space="preserve">a_modelo_encuesta.md – Modelo de encuesta integral para responsables de seguridad.  </w:t>
      </w:r>
    </w:p>
    <w:p>
      <w:pPr>
        <w:pStyle w:val="ListNumber"/>
        <w:keepLines w:val="1"/>
        <w:keepNext w:val="1"/>
        <w:widowControl w:val="1"/>
      </w:pPr>
      <w:r>
        <w:t xml:space="preserve">b_guia_metodologica.md – Guía para diseño, administración y análisis de la encuesta.  </w:t>
      </w:r>
    </w:p>
    <w:p>
      <w:pPr>
        <w:pStyle w:val="ListNumber"/>
        <w:keepLines w:val="1"/>
        <w:keepNext w:val="1"/>
        <w:widowControl w:val="1"/>
      </w:pPr>
      <w:r>
        <w:t xml:space="preserve">c_narrativa_explicativa.md – Texto explicativo para contextualizar la encuesta ante partes interesadas.  </w:t>
      </w:r>
    </w:p>
    <w:p>
      <w:pPr>
        <w:pStyle w:val="ListNumber"/>
        <w:keepLines w:val="1"/>
        <w:keepNext w:val="1"/>
        <w:widowControl w:val="1"/>
      </w:pPr>
      <w:r>
        <w:t xml:space="preserve">d_mapeo_preguntas_normativa.md – Tabla que vincula cada pregunta con ENS, IMC y marcos relacionados.  </w:t>
      </w:r>
    </w:p>
    <w:p>
      <w:pPr>
        <w:pStyle w:val="ListNumber"/>
        <w:keepLines w:val="1"/>
        <w:keepNext w:val="1"/>
        <w:widowControl w:val="1"/>
      </w:pPr>
      <w:r>
        <w:t xml:space="preserve">e_plantilla_excel_igm_roi.md – Descripción de la estructura de Excel para cálculo de IGM y ROI.  </w:t>
      </w:r>
    </w:p>
    <w:p>
      <w:pPr>
        <w:pStyle w:val="ListNumber"/>
        <w:keepLines w:val="1"/>
        <w:keepNext w:val="1"/>
        <w:widowControl w:val="1"/>
      </w:pPr>
      <w:r>
        <w:t xml:space="preserve">f_plantilla_reporte_ejecutivo.md – Guión de presentación ejecutiva tipo PowerPoint.  </w:t>
      </w:r>
    </w:p>
    <w:p>
      <w:pPr>
        <w:pStyle w:val="ListNumber"/>
        <w:keepLines w:val="1"/>
        <w:widowControl w:val="1"/>
      </w:pPr>
      <w:r>
        <w:t>g_README.md – Este documento.</w:t>
      </w:r>
    </w:p>
    <w:p>
      <w:pPr>
        <w:pStyle w:val="Heading2"/>
        <w:keepNext/>
        <w:keepLines/>
      </w:pPr>
      <w:r>
        <w:rPr>
          <w:color w:val="0066CC"/>
        </w:rPr>
        <w:t>3. Requisitos previos</w:t>
      </w:r>
    </w:p>
    <w:p>
      <w:pPr>
        <w:pStyle w:val="ListBullet"/>
        <w:keepLines w:val="1"/>
        <w:keepNext w:val="1"/>
        <w:widowControl w:val="1"/>
      </w:pPr>
      <w:r>
        <w:t xml:space="preserve">Conocimiento básico de ENS y su proceso de adecuación (categorización, DoA, etc.).[web:26][web:19]  </w:t>
      </w:r>
    </w:p>
    <w:p>
      <w:pPr>
        <w:pStyle w:val="ListBullet"/>
        <w:keepLines w:val="1"/>
        <w:keepNext w:val="1"/>
        <w:widowControl w:val="1"/>
      </w:pPr>
      <w:r>
        <w:t xml:space="preserve">Familiaridad con el Diccionario IMC de INCIBE (recomendable, aunque no imprescindible).[web:27][web:35]  </w:t>
      </w:r>
    </w:p>
    <w:p>
      <w:pPr>
        <w:pStyle w:val="ListBullet"/>
        <w:keepLines w:val="1"/>
        <w:widowControl w:val="1"/>
      </w:pPr>
      <w:r>
        <w:t>Herramientas ofimáticas estándar: editor de texto, Excel (o equivalente), y software de presentaciones.</w:t>
      </w:r>
    </w:p>
    <w:p>
      <w:pPr>
        <w:pStyle w:val="Heading2"/>
        <w:keepNext/>
        <w:keepLines/>
      </w:pPr>
      <w:r>
        <w:rPr>
          <w:color w:val="0066CC"/>
        </w:rPr>
        <w:t>4. Cómo utilizar el kit</w:t>
      </w:r>
    </w:p>
    <w:p>
      <w:pPr>
        <w:pStyle w:val="Heading3"/>
        <w:keepNext/>
        <w:keepLines/>
      </w:pPr>
      <w:r>
        <w:t>4.1. Paso 1 — Adaptar la encuesta</w:t>
      </w:r>
    </w:p>
    <w:p>
      <w:pPr>
        <w:pStyle w:val="ListBullet"/>
        <w:keepLines w:val="1"/>
        <w:keepNext w:val="1"/>
        <w:widowControl w:val="1"/>
      </w:pPr>
      <w:r>
        <w:t xml:space="preserve">Partir de a_modelo_encuesta.md.  </w:t>
      </w:r>
    </w:p>
    <w:p>
      <w:pPr>
        <w:pStyle w:val="ListBullet"/>
        <w:keepLines w:val="1"/>
        <w:keepNext w:val="1"/>
        <w:widowControl w:val="1"/>
      </w:pPr>
      <w:r>
        <w:t xml:space="preserve">Revisar cada bloque y adaptar el lenguaje a la organización o al sector, sin alterar en exceso la estructura, para preservar comparabilidad.  </w:t>
      </w:r>
    </w:p>
    <w:p>
      <w:pPr>
        <w:pStyle w:val="ListBullet"/>
        <w:keepLines w:val="1"/>
        <w:widowControl w:val="1"/>
      </w:pPr>
      <w:r>
        <w:t>Traducir a la herramienta de encuestas elegida (formulario web, sistema interno, etc.).</w:t>
      </w:r>
    </w:p>
    <w:p>
      <w:pPr>
        <w:pStyle w:val="Heading3"/>
        <w:keepNext/>
        <w:keepLines/>
      </w:pPr>
      <w:r>
        <w:t>4.2. Paso 2 — Preparar la codificación y el Excel</w:t>
      </w:r>
    </w:p>
    <w:p>
      <w:pPr>
        <w:pStyle w:val="ListBullet"/>
        <w:keepLines w:val="1"/>
        <w:keepNext w:val="1"/>
        <w:widowControl w:val="1"/>
      </w:pPr>
      <w:r>
        <w:t xml:space="preserve">Utilizar e_plantilla_excel_igm_roi.md para crear el libro de Excel correspondiente.  </w:t>
      </w:r>
    </w:p>
    <w:p>
      <w:pPr>
        <w:pStyle w:val="ListBullet"/>
        <w:keepLines w:val="1"/>
        <w:keepNext w:val="1"/>
        <w:widowControl w:val="1"/>
      </w:pPr>
      <w:r>
        <w:t xml:space="preserve">Definir en la hoja Codificacion los códigos numéricos acordes con las opciones de respuesta.  </w:t>
      </w:r>
    </w:p>
    <w:p>
      <w:pPr>
        <w:pStyle w:val="ListBullet"/>
        <w:keepLines w:val="1"/>
        <w:widowControl w:val="1"/>
      </w:pPr>
      <w:r>
        <w:t>Asegurar que los identificadores de preguntas (P5–P57, etc.) se mantienen coherentes.</w:t>
      </w:r>
    </w:p>
    <w:p>
      <w:pPr>
        <w:pStyle w:val="Heading3"/>
        <w:keepNext/>
        <w:keepLines/>
      </w:pPr>
      <w:r>
        <w:t>4.3. Paso 3 — Administrar la encuesta</w:t>
      </w:r>
    </w:p>
    <w:p>
      <w:pPr>
        <w:pStyle w:val="ListBullet"/>
        <w:keepLines w:val="1"/>
        <w:keepNext w:val="1"/>
        <w:widowControl w:val="1"/>
      </w:pPr>
      <w:r>
        <w:t xml:space="preserve">Consultar b_guia_metodologica.md para recomendaciones sobre destinatarios, confidencialidad y tiempos.  </w:t>
      </w:r>
    </w:p>
    <w:p>
      <w:pPr>
        <w:pStyle w:val="ListBullet"/>
        <w:keepLines w:val="1"/>
        <w:keepNext w:val="1"/>
        <w:widowControl w:val="1"/>
      </w:pPr>
      <w:r>
        <w:t xml:space="preserve">Enviar la encuesta a las organizaciones seleccionadas y establecer un plazo razonable de respuesta.  </w:t>
      </w:r>
    </w:p>
    <w:p>
      <w:pPr>
        <w:pStyle w:val="ListBullet"/>
        <w:keepLines w:val="1"/>
        <w:widowControl w:val="1"/>
      </w:pPr>
      <w:r>
        <w:t>Supervisar la calidad de las respuestas y resolver dudas de interpretación.</w:t>
      </w:r>
    </w:p>
    <w:p>
      <w:pPr>
        <w:pStyle w:val="Heading3"/>
        <w:keepNext/>
        <w:keepLines/>
      </w:pPr>
      <w:r>
        <w:t>4.4. Paso 4 — Analizar y construir el IGM</w:t>
      </w:r>
    </w:p>
    <w:p>
      <w:pPr>
        <w:pStyle w:val="ListBullet"/>
        <w:keepLines w:val="1"/>
        <w:keepNext w:val="1"/>
        <w:widowControl w:val="1"/>
      </w:pPr>
      <w:r>
        <w:t xml:space="preserve">Importar las respuestas en la hoja Datos_Encuesta.  </w:t>
      </w:r>
    </w:p>
    <w:p>
      <w:pPr>
        <w:pStyle w:val="ListBullet"/>
        <w:keepLines w:val="1"/>
        <w:keepNext w:val="1"/>
        <w:widowControl w:val="1"/>
      </w:pPr>
      <w:r>
        <w:t xml:space="preserve">Calcular subíndices e IGM según las fórmulas definidas.  </w:t>
      </w:r>
    </w:p>
    <w:p>
      <w:pPr>
        <w:pStyle w:val="ListBullet"/>
        <w:keepLines w:val="1"/>
        <w:widowControl w:val="1"/>
      </w:pPr>
      <w:r>
        <w:t>Explorar variantes de ponderación si es necesario para contextos específicos.</w:t>
      </w:r>
    </w:p>
    <w:p>
      <w:pPr>
        <w:pStyle w:val="Heading3"/>
        <w:keepNext/>
        <w:keepLines/>
      </w:pPr>
      <w:r>
        <w:t>4.5. Paso 5 — Preparar el reporte ejecutivo</w:t>
      </w:r>
    </w:p>
    <w:p>
      <w:pPr>
        <w:pStyle w:val="ListBullet"/>
        <w:keepLines w:val="1"/>
        <w:keepNext w:val="1"/>
        <w:widowControl w:val="1"/>
      </w:pPr>
      <w:r>
        <w:t xml:space="preserve">Seguir f_plantilla_reporte_ejecutivo.md como guión para elaborar la presentación de resultados.  </w:t>
      </w:r>
    </w:p>
    <w:p>
      <w:pPr>
        <w:pStyle w:val="ListBullet"/>
        <w:keepLines w:val="1"/>
        <w:widowControl w:val="1"/>
      </w:pPr>
      <w:r>
        <w:t>Ajustar mensaje y gráficos al público objetivo (técnico, directivo, regulador).</w:t>
      </w:r>
    </w:p>
    <w:p>
      <w:pPr>
        <w:pStyle w:val="Heading3"/>
        <w:keepNext/>
        <w:keepLines/>
      </w:pPr>
      <w:r>
        <w:t>4.6. Paso 6 — Comunicar y planificar acciones</w:t>
      </w:r>
    </w:p>
    <w:p>
      <w:pPr>
        <w:pStyle w:val="ListBullet"/>
        <w:keepLines w:val="1"/>
        <w:keepNext w:val="1"/>
        <w:widowControl w:val="1"/>
      </w:pPr>
      <w:r>
        <w:t xml:space="preserve">Utilizar c_narrativa_explicativa.md para contextualizar la encuesta y evitar interpretaciones defensivas.  </w:t>
      </w:r>
    </w:p>
    <w:p>
      <w:pPr>
        <w:pStyle w:val="ListBullet"/>
        <w:keepLines w:val="1"/>
        <w:widowControl w:val="1"/>
      </w:pPr>
      <w:r>
        <w:t>Presentar resultados, discutir prioridades y definir hojas de ruta de mejora.</w:t>
      </w:r>
    </w:p>
    <w:p>
      <w:pPr>
        <w:pStyle w:val="Heading2"/>
        <w:keepNext/>
        <w:keepLines/>
      </w:pPr>
      <w:r>
        <w:rPr>
          <w:color w:val="0066CC"/>
        </w:rPr>
        <w:t>5. Actualización del kit</w:t>
      </w:r>
    </w:p>
    <w:p>
      <w:r>
        <w:t>El entorno normativo y técnico evoluciona: ENS se actualiza, IMC se amplía, la UE refuerza la regulación a través de NIS2, DORA y otras iniciativas.[web:26][web:27][web:7][web:12] Por ello:</w:t>
      </w:r>
    </w:p>
    <w:p>
      <w:pPr>
        <w:pStyle w:val="ListBullet"/>
        <w:keepLines w:val="1"/>
        <w:keepNext w:val="1"/>
        <w:widowControl w:val="1"/>
      </w:pPr>
      <w:r>
        <w:t xml:space="preserve">Se recomienda revisar el kit al menos cada dos años.  </w:t>
      </w:r>
    </w:p>
    <w:p>
      <w:pPr>
        <w:pStyle w:val="ListBullet"/>
        <w:keepLines w:val="1"/>
        <w:keepNext w:val="1"/>
        <w:widowControl w:val="1"/>
      </w:pPr>
      <w:r>
        <w:t xml:space="preserve">Las preguntas pueden ajustarse para reflejar nuevas obligaciones o buenas prácticas (p. ej. IA, 5G, cadena de suministro).  </w:t>
      </w:r>
    </w:p>
    <w:p>
      <w:pPr>
        <w:pStyle w:val="ListBullet"/>
        <w:keepLines w:val="1"/>
        <w:widowControl w:val="1"/>
      </w:pPr>
      <w:r>
        <w:t>Cualquier cambio debe documentarse para preservar trazabilidad entre versiones.</w:t>
      </w:r>
    </w:p>
    <w:p>
      <w:pPr>
        <w:pStyle w:val="Heading2"/>
        <w:keepNext/>
        <w:keepLines/>
      </w:pPr>
      <w:r>
        <w:rPr>
          <w:color w:val="0066CC"/>
        </w:rPr>
        <w:t>6. Licencia y atribuciones</w:t>
      </w:r>
    </w:p>
    <w:p>
      <w:r>
        <w:t>Este kit se apoya en conceptos y marcos públicos de organismos como CCN‑CNI, INCIBE, la Comisión Europea y diversos grupos de trabajo y estudios sectoriales.[web:19][web:27][web:20][web:12] La adaptación local debe respetar las licencias originales de dichos materiales.</w:t>
      </w:r>
    </w:p>
    <w:p>
      <w:pPr>
        <w:pStyle w:val="Heading2"/>
        <w:keepNext/>
        <w:keepLines/>
      </w:pPr>
      <w:r>
        <w:rPr>
          <w:color w:val="0066CC"/>
        </w:rPr>
        <w:t>7. Contacto y contribuciones</w:t>
      </w:r>
    </w:p>
    <w:p>
      <w:r>
        <w:t>Se anima a las organizaciones usuarias del kit a:</w:t>
      </w:r>
    </w:p>
    <w:p>
      <w:pPr>
        <w:pStyle w:val="ListBullet"/>
        <w:keepLines w:val="1"/>
        <w:keepNext w:val="1"/>
        <w:widowControl w:val="1"/>
      </w:pPr>
      <w:r>
        <w:t xml:space="preserve">Compartir ajustes, mejoras y nuevas preguntas detectadas en su aplicación práctica.  </w:t>
      </w:r>
    </w:p>
    <w:p>
      <w:pPr>
        <w:pStyle w:val="ListBullet"/>
        <w:keepLines w:val="1"/>
        <w:keepNext w:val="1"/>
        <w:widowControl w:val="1"/>
      </w:pPr>
      <w:r>
        <w:t xml:space="preserve">Proponer ampliaciones sectoriales (sanidad, energía, educación, etc.).  </w:t>
      </w:r>
    </w:p>
    <w:p>
      <w:pPr>
        <w:pStyle w:val="ListBullet"/>
        <w:keepLines w:val="1"/>
        <w:widowControl w:val="1"/>
      </w:pPr>
      <w:r>
        <w:t>Contribuir a la construcción de series temporales que permitan observar la evolución de la madurez MARGA‑ENS.</w:t>
      </w:r>
    </w:p>
    <w:p>
      <w:pPr>
        <w:pStyle w:val="Heading2"/>
        <w:keepNext/>
        <w:keepLines/>
      </w:pPr>
      <w:r>
        <w:rPr>
          <w:color w:val="0066CC"/>
        </w:rPr>
        <w:t>8. Epílogo</w:t>
      </w:r>
    </w:p>
    <w:p>
      <w:r>
        <w:t>Este README es, en el fondo, una invitación: a dejar de hablar de ciberseguridad en abstracto y a empezar a medirla con el mismo rigor con el que se mide el presupuesto o la producción. Las métricas no resuelven por sí solas los problemas, pero al menos los iluminan. Y, como saben todos los estrategas prudentes, nada asusta tanto a un riesgo como la luz apuntando exactamente donde más duele.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