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IGM y ROI SASE basada en GQM + PRAGMATIC</w:t>
      </w:r>
    </w:p>
    <w:p>
      <w:r>
        <w:t>Especificación técnica para implementar en Excel (u hoja similar) el Índice Global de Madurez (IGM) y el cálculo de ROI SASE, utilizando las métricas definidas en el marco GQM y priorizadas mediante PRAGMATIC.</w:t>
      </w:r>
    </w:p>
    <w:p>
      <w:pPr>
        <w:pStyle w:val="Heading2"/>
        <w:keepNext/>
        <w:keepLines/>
      </w:pPr>
      <w:r>
        <w:rPr>
          <w:color w:val="0066CC"/>
        </w:rPr>
        <w:t>1. Hojas recomendadas</w:t>
      </w:r>
    </w:p>
    <w:p>
      <w:pPr>
        <w:pStyle w:val="ListNumber"/>
        <w:keepLines w:val="1"/>
        <w:keepNext w:val="1"/>
        <w:widowControl w:val="1"/>
      </w:pPr>
      <w:r>
        <w:t xml:space="preserve">Respuestas – Datos brutos de encuestas / auditorías.  </w:t>
      </w:r>
    </w:p>
    <w:p>
      <w:pPr>
        <w:pStyle w:val="ListNumber"/>
        <w:keepLines w:val="1"/>
        <w:keepNext w:val="1"/>
        <w:widowControl w:val="1"/>
      </w:pPr>
      <w:r>
        <w:t xml:space="preserve">Metrics – Transformación de respuestas en valores Mx,y (0–4, 0–100, etc.).  </w:t>
      </w:r>
    </w:p>
    <w:p>
      <w:pPr>
        <w:pStyle w:val="ListNumber"/>
        <w:keepLines w:val="1"/>
        <w:keepNext w:val="1"/>
        <w:widowControl w:val="1"/>
      </w:pPr>
      <w:r>
        <w:t xml:space="preserve">IGM – Cálculo del índice por dimensión y global.  </w:t>
      </w:r>
    </w:p>
    <w:p>
      <w:pPr>
        <w:pStyle w:val="ListNumber"/>
        <w:keepLines w:val="1"/>
        <w:keepNext w:val="1"/>
        <w:widowControl w:val="1"/>
      </w:pPr>
      <w:r>
        <w:t xml:space="preserve">ROI – Modelo económico de costes/beneficios y ROI.  </w:t>
      </w:r>
    </w:p>
    <w:p>
      <w:pPr>
        <w:pStyle w:val="ListNumber"/>
        <w:keepLines w:val="1"/>
        <w:widowControl w:val="1"/>
      </w:pPr>
      <w:r>
        <w:t>Parametros – Ponderaciones, factores económicos y configuraciones.</w:t>
      </w:r>
    </w:p>
    <w:p>
      <w:pPr>
        <w:pStyle w:val="Heading2"/>
        <w:keepNext/>
        <w:keepLines/>
      </w:pPr>
      <w:r>
        <w:rPr>
          <w:color w:val="0066CC"/>
        </w:rPr>
        <w:t>2. Hoja Respuestas</w:t>
      </w:r>
    </w:p>
    <w:p>
      <w:r>
        <w:t>Cada fila representa una organización o unidad (ministerio, consejería, empresa). Columnas mínimas:</w:t>
      </w:r>
    </w:p>
    <w:p>
      <w:pPr>
        <w:pStyle w:val="ListBullet"/>
        <w:keepLines w:val="1"/>
        <w:keepNext w:val="1"/>
        <w:widowControl w:val="1"/>
      </w:pPr>
      <w:r>
        <w:t xml:space="preserve">ID_Org </w:t>
      </w:r>
    </w:p>
    <w:p>
      <w:pPr>
        <w:pStyle w:val="ListBullet"/>
        <w:keepLines w:val="1"/>
        <w:keepNext w:val="1"/>
        <w:widowControl w:val="1"/>
      </w:pPr>
      <w:r>
        <w:t xml:space="preserve">Sector </w:t>
      </w:r>
    </w:p>
    <w:p>
      <w:pPr>
        <w:pStyle w:val="ListBullet"/>
        <w:keepLines w:val="1"/>
        <w:keepNext w:val="1"/>
        <w:widowControl w:val="1"/>
      </w:pPr>
      <w:r>
        <w:t xml:space="preserve">Tamano </w:t>
      </w:r>
    </w:p>
    <w:p>
      <w:pPr>
        <w:pStyle w:val="ListBullet"/>
        <w:keepLines w:val="1"/>
        <w:keepNext w:val="1"/>
        <w:widowControl w:val="1"/>
      </w:pPr>
      <w:r>
        <w:t xml:space="preserve">ENS_Nivel (Bajo/Medio/Alto, si aplica)  </w:t>
      </w:r>
    </w:p>
    <w:p>
      <w:pPr>
        <w:pStyle w:val="ListBullet"/>
        <w:keepLines w:val="1"/>
        <w:keepNext w:val="1"/>
        <w:widowControl w:val="1"/>
      </w:pPr>
      <w:r>
        <w:t xml:space="preserve">NIS2_Sujeta (Sí/No)  </w:t>
      </w:r>
    </w:p>
    <w:p>
      <w:pPr>
        <w:pStyle w:val="ListBullet"/>
        <w:keepLines w:val="1"/>
        <w:widowControl w:val="1"/>
      </w:pPr>
      <w:r>
        <w:t>Campos que codifican respuestas a preguntas relacionadas con métricas (por ejemplo, A_MFA_Cobertura, A_ZTNA_Cobertura, etc.) con valores discretos (1–4).</w:t>
      </w:r>
    </w:p>
    <w:p>
      <w:r>
        <w:t>Ejemplo de codificación para coberturas:</w:t>
      </w:r>
    </w:p>
    <w:p>
      <w:pPr>
        <w:pStyle w:val="ListBullet"/>
        <w:keepLines w:val="1"/>
        <w:keepNext w:val="1"/>
        <w:widowControl w:val="1"/>
      </w:pPr>
      <w:r>
        <w:t xml:space="preserve">1 → 0–25 %  </w:t>
      </w:r>
    </w:p>
    <w:p>
      <w:pPr>
        <w:pStyle w:val="ListBullet"/>
        <w:keepLines w:val="1"/>
        <w:keepNext w:val="1"/>
        <w:widowControl w:val="1"/>
      </w:pPr>
      <w:r>
        <w:t xml:space="preserve">2 → 26–50 %  </w:t>
      </w:r>
    </w:p>
    <w:p>
      <w:pPr>
        <w:pStyle w:val="ListBullet"/>
        <w:keepLines w:val="1"/>
        <w:keepNext w:val="1"/>
        <w:widowControl w:val="1"/>
      </w:pPr>
      <w:r>
        <w:t xml:space="preserve">3 → 51–75 %  </w:t>
      </w:r>
    </w:p>
    <w:p>
      <w:pPr>
        <w:pStyle w:val="ListBullet"/>
        <w:keepLines w:val="1"/>
        <w:widowControl w:val="1"/>
      </w:pPr>
      <w:r>
        <w:t>4 → 76–100 %</w:t>
      </w:r>
    </w:p>
    <w:p>
      <w:pPr>
        <w:pStyle w:val="Heading2"/>
        <w:keepNext/>
        <w:keepLines/>
      </w:pPr>
      <w:r>
        <w:rPr>
          <w:color w:val="0066CC"/>
        </w:rPr>
        <w:t>3. Hoja Parametros</w:t>
      </w:r>
    </w:p>
    <w:p>
      <w:pPr>
        <w:pStyle w:val="Heading3"/>
        <w:keepNext/>
        <w:keepLines/>
      </w:pPr>
      <w:r>
        <w:t>3.1. Ponderaciones por dimensión del IGM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 sugerido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Rendimiento &amp; QoE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0,15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Zero Trust &amp; Identidad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0,20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SOC &amp; Detección/Respuesta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0,15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Cumplimiento ENS/NIS2 &amp; Gobierno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0,20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Continuidad &amp; Resiliencia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0,15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Negocio &amp; ROI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D6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0,15</w:t>
            </w:r>
          </w:p>
        </w:tc>
      </w:tr>
    </w:tbl>
    <w:p/>
    <w:p>
      <w:r>
        <w:t>Ajustable según contexto (por ejemplo, reforzar D4 para AAPP ENS).</w:t>
      </w:r>
    </w:p>
    <w:p>
      <w:pPr>
        <w:pStyle w:val="Heading3"/>
        <w:keepNext/>
        <w:keepLines/>
      </w:pPr>
      <w:r>
        <w:t>3.2. Mapeo métricas → dimensiones</w:t>
      </w:r>
    </w:p>
    <w:p>
      <w:pPr>
        <w:pStyle w:val="ListBullet"/>
        <w:keepLines w:val="1"/>
        <w:keepNext w:val="1"/>
        <w:widowControl w:val="1"/>
      </w:pPr>
      <w:r>
        <w:t xml:space="preserve">D1 (Rendimiento &amp; QoE): M1.1, M1.2, M1.4, M1.5, M1.6  </w:t>
      </w:r>
    </w:p>
    <w:p>
      <w:pPr>
        <w:pStyle w:val="ListBullet"/>
        <w:keepLines w:val="1"/>
        <w:keepNext w:val="1"/>
        <w:widowControl w:val="1"/>
      </w:pPr>
      <w:r>
        <w:t xml:space="preserve">D2 (Zero Trust): M2.1, M2.2, M2.3, M2.4  </w:t>
      </w:r>
    </w:p>
    <w:p>
      <w:pPr>
        <w:pStyle w:val="ListBullet"/>
        <w:keepLines w:val="1"/>
        <w:keepNext w:val="1"/>
        <w:widowControl w:val="1"/>
      </w:pPr>
      <w:r>
        <w:t xml:space="preserve">D3 (SOC): M3.1, M3.2, M3.3, M3.4, M3.5  </w:t>
      </w:r>
    </w:p>
    <w:p>
      <w:pPr>
        <w:pStyle w:val="ListBullet"/>
        <w:keepLines w:val="1"/>
        <w:keepNext w:val="1"/>
        <w:widowControl w:val="1"/>
      </w:pPr>
      <w:r>
        <w:t xml:space="preserve">D4 (Cumplimiento): M4.1, M4.2, M4.3, M4.4  </w:t>
      </w:r>
    </w:p>
    <w:p>
      <w:pPr>
        <w:pStyle w:val="ListBullet"/>
        <w:keepLines w:val="1"/>
        <w:keepNext w:val="1"/>
        <w:widowControl w:val="1"/>
      </w:pPr>
      <w:r>
        <w:t xml:space="preserve">D5 (Continuidad): M5.1, M5.2, M5.3, M5.4  </w:t>
      </w:r>
    </w:p>
    <w:p>
      <w:pPr>
        <w:pStyle w:val="ListBullet"/>
        <w:keepLines w:val="1"/>
        <w:widowControl w:val="1"/>
      </w:pPr>
      <w:r>
        <w:t>D6 (Negocio/ROI): M6.1, M6.2, M6.3, M6.4, M6.5</w:t>
      </w:r>
    </w:p>
    <w:p>
      <w:pPr>
        <w:pStyle w:val="Heading3"/>
        <w:keepNext/>
        <w:keepLines/>
      </w:pPr>
      <w:r>
        <w:t>3.3. Parámetros económicos para ROI</w:t>
      </w:r>
    </w:p>
    <w:p>
      <w:pPr>
        <w:pStyle w:val="ListBullet"/>
        <w:keepLines w:val="1"/>
        <w:keepNext w:val="1"/>
        <w:widowControl w:val="1"/>
      </w:pPr>
      <w:r>
        <w:t xml:space="preserve">Coste_Licencias_SASE </w:t>
      </w:r>
    </w:p>
    <w:p>
      <w:pPr>
        <w:pStyle w:val="ListBullet"/>
        <w:keepLines w:val="1"/>
        <w:keepNext w:val="1"/>
        <w:widowControl w:val="1"/>
      </w:pPr>
      <w:r>
        <w:t xml:space="preserve">Coste_Proyecto_Implantacion </w:t>
      </w:r>
    </w:p>
    <w:p>
      <w:pPr>
        <w:pStyle w:val="ListBullet"/>
        <w:keepLines w:val="1"/>
        <w:keepNext w:val="1"/>
        <w:widowControl w:val="1"/>
      </w:pPr>
      <w:r>
        <w:t xml:space="preserve">Coste_Operacion_Anual </w:t>
      </w:r>
    </w:p>
    <w:p>
      <w:pPr>
        <w:pStyle w:val="ListBullet"/>
        <w:keepLines w:val="1"/>
        <w:keepNext w:val="1"/>
        <w:widowControl w:val="1"/>
      </w:pPr>
      <w:r>
        <w:t xml:space="preserve">Coste_Licencias_Heredadas (pre-SASE)  </w:t>
      </w:r>
    </w:p>
    <w:p>
      <w:pPr>
        <w:pStyle w:val="ListBullet"/>
        <w:keepLines w:val="1"/>
        <w:keepNext w:val="1"/>
        <w:widowControl w:val="1"/>
      </w:pPr>
      <w:r>
        <w:t xml:space="preserve">Coste_Enlaces_Heredados </w:t>
      </w:r>
    </w:p>
    <w:p>
      <w:pPr>
        <w:pStyle w:val="ListBullet"/>
        <w:keepLines w:val="1"/>
        <w:keepNext w:val="1"/>
        <w:widowControl w:val="1"/>
      </w:pPr>
      <w:r>
        <w:t xml:space="preserve">CosteIncidenteMayor </w:t>
      </w:r>
    </w:p>
    <w:p>
      <w:pPr>
        <w:pStyle w:val="ListBullet"/>
        <w:keepLines w:val="1"/>
        <w:keepNext w:val="1"/>
        <w:widowControl w:val="1"/>
      </w:pPr>
      <w:r>
        <w:t xml:space="preserve">Incidentes_Anuales_Pre </w:t>
      </w:r>
    </w:p>
    <w:p>
      <w:pPr>
        <w:pStyle w:val="ListBullet"/>
        <w:keepLines w:val="1"/>
        <w:keepNext w:val="1"/>
        <w:widowControl w:val="1"/>
      </w:pPr>
      <w:r>
        <w:t xml:space="preserve">ReduccionIncidentes_% </w:t>
      </w:r>
    </w:p>
    <w:p>
      <w:pPr>
        <w:pStyle w:val="ListBullet"/>
        <w:keepLines w:val="1"/>
        <w:keepNext w:val="1"/>
        <w:widowControl w:val="1"/>
      </w:pPr>
      <w:r>
        <w:t xml:space="preserve">Horas_Operativas_Ahorradas </w:t>
      </w:r>
    </w:p>
    <w:p>
      <w:pPr>
        <w:pStyle w:val="ListBullet"/>
        <w:keepLines w:val="1"/>
        <w:keepNext w:val="1"/>
        <w:widowControl w:val="1"/>
      </w:pPr>
      <w:r>
        <w:t xml:space="preserve">Coste_Hora_Tecnico </w:t>
      </w:r>
    </w:p>
    <w:p>
      <w:pPr>
        <w:pStyle w:val="ListBullet"/>
        <w:keepLines w:val="1"/>
        <w:keepNext w:val="1"/>
        <w:widowControl w:val="1"/>
      </w:pPr>
      <w:r>
        <w:t xml:space="preserve">Horas_Prod_Ahorradas_Usu </w:t>
      </w:r>
    </w:p>
    <w:p>
      <w:pPr>
        <w:pStyle w:val="ListBullet"/>
        <w:keepLines w:val="1"/>
        <w:widowControl w:val="1"/>
      </w:pPr>
      <w:r>
        <w:t>Coste_Hora_Usuario</w:t>
      </w:r>
    </w:p>
    <w:p>
      <w:r>
        <w:t>Valores por defecto ajustables.</w:t>
      </w:r>
    </w:p>
    <w:p>
      <w:pPr>
        <w:pStyle w:val="Heading2"/>
        <w:keepNext/>
        <w:keepLines/>
      </w:pPr>
      <w:r>
        <w:rPr>
          <w:color w:val="0066CC"/>
        </w:rPr>
        <w:t>4. Hoja Metrics</w:t>
      </w:r>
    </w:p>
    <w:p>
      <w:r>
        <w:t>Transforma las respuestas codificadas en valores de métrica normalizados (por ejemplo, 0–100).</w:t>
      </w:r>
    </w:p>
    <w:p>
      <w:r>
        <w:t>Ejemplos:</w:t>
      </w:r>
    </w:p>
    <w:p>
      <w:pPr>
        <w:pStyle w:val="ListBullet"/>
        <w:keepLines w:val="1"/>
        <w:keepNext w:val="1"/>
        <w:widowControl w:val="1"/>
      </w:pPr>
      <w:r>
        <w:t xml:space="preserve">M2.1 (% usuarios sensibles con MFA) </w:t>
      </w:r>
    </w:p>
    <w:p>
      <w:pPr>
        <w:pStyle w:val="ListBullet"/>
        <w:keepLines w:val="1"/>
        <w:keepNext w:val="1"/>
        <w:widowControl w:val="1"/>
      </w:pPr>
      <w:r>
        <w:br/>
        <w:t>Si Respuestas!A_MFA_Cobertura ∈ {1..4}, entonces:</w:t>
        <w:br/>
        <w:t>= (Respuestas!A_MFA_Cobertura - 1) / 3 * 100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M1.1 (latencia p95 hacia apps críticas) </w:t>
        <w:br/>
      </w:r>
    </w:p>
    <w:p>
      <w:pPr>
        <w:pStyle w:val="ListBullet"/>
        <w:keepLines w:val="1"/>
        <w:keepNext w:val="1"/>
        <w:widowControl w:val="1"/>
      </w:pPr>
      <w:r>
        <w:br/>
        <w:t>Tomado de telemetría (ms); puede reescalarse a un índice inverso (cuanto menor, mejor):</w:t>
        <w:br/>
        <w:t>Indice_Latencia = MAX(0; MIN(100; 100 - (Latencia_p95 - Umbral_Bueno) * Factor))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M5.4 (indisponibilidad anual SASE) </w:t>
        <w:br/>
      </w:r>
    </w:p>
    <w:p>
      <w:pPr>
        <w:pStyle w:val="ListBullet"/>
        <w:keepLines w:val="1"/>
        <w:widowControl w:val="1"/>
      </w:pPr>
      <w:r>
        <w:t>Convertir horas de indisponibilidad a un índice donde 0 = mala, 100 = excelente.</w:t>
      </w:r>
    </w:p>
    <w:p>
      <w:r>
        <w:t xml:space="preserve">Si </w:t>
      </w:r>
      <w:r>
        <w:rPr>
          <w:rFonts w:ascii="Courier New" w:hAnsi="Courier New"/>
          <w:sz w:val="18"/>
        </w:rPr>
        <w:t>Respuestas!A_MFA_Cobertura</w:t>
      </w:r>
      <w:r>
        <w:t xml:space="preserve"> ∈ {1..4}, entonces:</w:t>
      </w:r>
      <w:r/>
      <w:r>
        <w:br/>
      </w:r>
      <w:r>
        <w:rPr>
          <w:rFonts w:ascii="Courier New" w:hAnsi="Courier New"/>
          <w:sz w:val="18"/>
        </w:rPr>
        <w:t>= (Respuestas!A_MFA_Cobertura - 1) / 3 * 100</w:t>
      </w:r>
    </w:p>
    <w:p>
      <w:r>
        <w:rPr>
          <w:b/>
        </w:rPr>
        <w:t>M1.1 (latencia p95 hacia apps críticas)</w:t>
      </w:r>
      <w:r>
        <w:t xml:space="preserve"> </w:t>
      </w:r>
    </w:p>
    <w:p>
      <w:r>
        <w:t>Tomado de telemetría (ms); puede reescalarse a un índice inverso (cuanto menor, mejor):</w:t>
      </w:r>
      <w:r/>
      <w:r>
        <w:br/>
      </w:r>
      <w:r>
        <w:rPr>
          <w:rFonts w:ascii="Courier New" w:hAnsi="Courier New"/>
          <w:sz w:val="18"/>
        </w:rPr>
        <w:t>Indice_Latencia = MAX(0; MIN(100; 100 - (Latencia_p95 - Umbral_Bueno) * Factor))</w:t>
      </w:r>
    </w:p>
    <w:p>
      <w:r>
        <w:rPr>
          <w:b/>
        </w:rPr>
        <w:t>M5.4 (indisponibilidad anual SASE)</w:t>
      </w:r>
      <w:r>
        <w:t xml:space="preserve"> </w:t>
      </w:r>
    </w:p>
    <w:p>
      <w:r>
        <w:t>Se recomienda documentar en esta hoja, columna al lado de cada métrica, la fórmula usada y la fuente de datos.</w:t>
      </w:r>
    </w:p>
    <w:p>
      <w:pPr>
        <w:pStyle w:val="Heading2"/>
        <w:keepNext/>
        <w:keepLines/>
      </w:pPr>
      <w:r>
        <w:rPr>
          <w:color w:val="0066CC"/>
        </w:rPr>
        <w:t>5. Hoja IGM</w:t>
      </w:r>
    </w:p>
    <w:p>
      <w:r>
        <w:t>Para cada organización (fila), y cada dimensión:</w:t>
      </w:r>
    </w:p>
    <w:p>
      <w:pPr>
        <w:pStyle w:val="ListNumber"/>
        <w:keepLines w:val="1"/>
        <w:keepNext w:val="1"/>
        <w:widowControl w:val="1"/>
      </w:pPr>
      <w:r>
        <w:br/>
        <w:t>Media de métricas de la dimensión</w:t>
        <w:br/>
        <w:t xml:space="preserve">   Ejemplo D2 (Zero Trust) para fila 2:</w:t>
        <w:br/>
        <w:t>=PROMEDIO(Metrics!M2_1_Org2 : Metrics!M2_4_Org2)</w:t>
        <w:br/>
      </w:r>
    </w:p>
    <w:p>
      <w:pPr>
        <w:pStyle w:val="ListNumber"/>
        <w:keepLines w:val="1"/>
        <w:keepNext w:val="1"/>
        <w:widowControl w:val="1"/>
      </w:pPr>
      <w:r>
        <w:br/>
        <w:t>Puntuación de dimensión (0–100)</w:t>
        <w:br/>
        <w:t xml:space="preserve">   Si las métricas ya están normalizadas 0–100, la media ya está en ese rango.</w:t>
        <w:br/>
      </w:r>
    </w:p>
    <w:p>
      <w:pPr>
        <w:pStyle w:val="ListNumber"/>
        <w:keepLines w:val="1"/>
        <w:keepNext w:val="1"/>
        <w:widowControl w:val="1"/>
      </w:pPr>
      <w:r>
        <w:br/>
        <w:t>IGM total</w:t>
        <w:br/>
        <w:t xml:space="preserve">   Supongamos: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IGM_D1 en columna C  </w:t>
        <w:br/>
      </w:r>
    </w:p>
    <w:p>
      <w:pPr>
        <w:pStyle w:val="ListNumber"/>
        <w:keepLines w:val="1"/>
        <w:keepNext w:val="1"/>
        <w:widowControl w:val="1"/>
      </w:pPr>
      <w:r>
        <w:t xml:space="preserve">IGM_D2 en columna D  </w:t>
      </w:r>
    </w:p>
    <w:p>
      <w:pPr>
        <w:pStyle w:val="ListNumber"/>
        <w:keepLines w:val="1"/>
        <w:keepNext w:val="1"/>
        <w:widowControl w:val="1"/>
      </w:pPr>
      <w:r>
        <w:t xml:space="preserve">...  </w:t>
      </w:r>
    </w:p>
    <w:p>
      <w:pPr>
        <w:pStyle w:val="ListNumber"/>
        <w:keepLines w:val="1"/>
        <w:widowControl w:val="1"/>
      </w:pPr>
      <w:r>
        <w:t>Pesos en Parametros!Peso_D1 … Peso_D6</w:t>
      </w:r>
    </w:p>
    <w:p>
      <w:r>
        <w:rPr>
          <w:b/>
        </w:rPr>
        <w:t>Media de métricas de la dimensión</w:t>
      </w:r>
      <w:r/>
      <w:r>
        <w:br/>
        <w:t xml:space="preserve">   Ejemplo D2 (Zero Trust) para fila 2:</w:t>
      </w:r>
      <w:r/>
      <w:r>
        <w:br/>
      </w:r>
      <w:r>
        <w:rPr>
          <w:rFonts w:ascii="Courier New" w:hAnsi="Courier New"/>
          <w:sz w:val="18"/>
        </w:rPr>
        <w:t>=PROMEDIO(Metrics!M2_1_Org2 : Metrics!M2_4_Org2)</w:t>
      </w:r>
    </w:p>
    <w:p>
      <w:r>
        <w:rPr>
          <w:b/>
        </w:rPr>
        <w:t>Puntuación de dimensión (0–100)</w:t>
      </w:r>
      <w:r/>
      <w:r>
        <w:br/>
        <w:t xml:space="preserve">   Si las métricas ya están normalizadas 0–100, la media ya está en ese rango.</w:t>
      </w:r>
    </w:p>
    <w:p>
      <w:r>
        <w:rPr>
          <w:b/>
        </w:rPr>
        <w:t>IGM total</w:t>
      </w:r>
      <w:r/>
      <w:r>
        <w:br/>
        <w:t xml:space="preserve">   Supongamos:</w:t>
      </w:r>
    </w:p>
    <w:p>
      <w:r>
        <w:rPr>
          <w:rFonts w:ascii="Courier New" w:hAnsi="Courier New"/>
          <w:sz w:val="18"/>
        </w:rPr>
        <w:t>IGM_D1</w:t>
      </w:r>
      <w:r>
        <w:t xml:space="preserve"> en columna C  </w:t>
      </w:r>
    </w:p>
    <w:p>
      <w:r>
        <w:t>Fórmula:</w:t>
      </w:r>
    </w:p>
    <w:p>
      <w:r>
        <w:rPr>
          <w:rFonts w:ascii="Courier New" w:hAnsi="Courier New"/>
          <w:sz w:val="18"/>
        </w:rPr>
        <w:t>text</w:t>
        <w:br/>
        <w:t xml:space="preserve">   IGM_Total = C2*Peso_D1 + D2*Peso_D2 + E2*Peso_D3 + F2*Peso_D4 + G2*Peso_D5 + H2*Peso_D6</w:t>
      </w:r>
    </w:p>
    <w:p>
      <w:r>
        <w:t>El resultado es un valor 0–100 que sirve para comparar organizaciones, sectores o evolución temporal.</w:t>
      </w:r>
    </w:p>
    <w:p>
      <w:pPr>
        <w:pStyle w:val="Heading2"/>
        <w:keepNext/>
        <w:keepLines/>
      </w:pPr>
      <w:r>
        <w:rPr>
          <w:color w:val="0066CC"/>
        </w:rPr>
        <w:t>6. Hoja ROI</w:t>
      </w:r>
    </w:p>
    <w:p>
      <w:pPr>
        <w:pStyle w:val="Heading3"/>
        <w:keepNext/>
        <w:keepLines/>
      </w:pPr>
      <w:r>
        <w:t>6.1. Bloque de costes (anuales)</w:t>
      </w:r>
    </w:p>
    <w:p>
      <w:pPr>
        <w:pStyle w:val="ListBullet"/>
        <w:keepLines w:val="1"/>
        <w:keepNext w:val="1"/>
        <w:widowControl w:val="1"/>
      </w:pPr>
      <w:r>
        <w:t xml:space="preserve">C1 = Coste_Licencias_SASE </w:t>
      </w:r>
    </w:p>
    <w:p>
      <w:pPr>
        <w:pStyle w:val="ListBullet"/>
        <w:keepLines w:val="1"/>
        <w:keepNext w:val="1"/>
        <w:widowControl w:val="1"/>
      </w:pPr>
      <w:r>
        <w:t xml:space="preserve">C2 = Coste_Proyecto_Implantacion / años de amortización  </w:t>
      </w:r>
    </w:p>
    <w:p>
      <w:pPr>
        <w:pStyle w:val="ListBullet"/>
        <w:keepLines w:val="1"/>
        <w:keepNext w:val="1"/>
        <w:widowControl w:val="1"/>
      </w:pPr>
      <w:r>
        <w:t xml:space="preserve">C3 = Coste_Operacion_Anual </w:t>
      </w:r>
    </w:p>
    <w:p>
      <w:pPr>
        <w:pStyle w:val="ListBullet"/>
        <w:keepLines w:val="1"/>
        <w:widowControl w:val="1"/>
      </w:pPr>
      <w:r>
        <w:t>Costes_Totales = SUMA(C1:C3)</w:t>
      </w:r>
    </w:p>
    <w:p>
      <w:pPr>
        <w:pStyle w:val="Heading3"/>
        <w:keepNext/>
        <w:keepLines/>
      </w:pPr>
      <w:r>
        <w:t>6.2. Bloque de beneficios (anuales)</w:t>
      </w:r>
    </w:p>
    <w:p>
      <w:pPr>
        <w:pStyle w:val="ListBullet"/>
        <w:keepLines w:val="1"/>
        <w:keepNext w:val="1"/>
        <w:widowControl w:val="1"/>
      </w:pPr>
      <w:r>
        <w:t xml:space="preserve">B1 = Coste_Licencias_Heredadas (ahorradas)  </w:t>
      </w:r>
    </w:p>
    <w:p>
      <w:pPr>
        <w:pStyle w:val="ListBullet"/>
        <w:keepLines w:val="1"/>
        <w:keepNext w:val="1"/>
        <w:widowControl w:val="1"/>
      </w:pPr>
      <w:r>
        <w:t xml:space="preserve">B2 = Coste_Enlaces_Heredados (si procede)  </w:t>
      </w:r>
    </w:p>
    <w:p>
      <w:pPr>
        <w:pStyle w:val="ListBullet"/>
        <w:keepLines w:val="1"/>
        <w:keepNext w:val="1"/>
        <w:widowControl w:val="1"/>
      </w:pPr>
      <w:r>
        <w:t xml:space="preserve">B3 = Incidentes_Anuales_Pre * ReduccionIncidentes_% * CosteIncidenteMayor </w:t>
      </w:r>
    </w:p>
    <w:p>
      <w:pPr>
        <w:pStyle w:val="ListBullet"/>
        <w:keepLines w:val="1"/>
        <w:keepNext w:val="1"/>
        <w:widowControl w:val="1"/>
      </w:pPr>
      <w:r>
        <w:t xml:space="preserve">B4 = Horas_Operativas_Ahorradas * Coste_Hora_Tecnico </w:t>
      </w:r>
    </w:p>
    <w:p>
      <w:pPr>
        <w:pStyle w:val="ListBullet"/>
        <w:keepLines w:val="1"/>
        <w:keepNext w:val="1"/>
        <w:widowControl w:val="1"/>
      </w:pPr>
      <w:r>
        <w:t xml:space="preserve">B5 = Horas_Prod_Ahorradas_Usu * Coste_Hora_Usuario </w:t>
      </w:r>
    </w:p>
    <w:p>
      <w:pPr>
        <w:pStyle w:val="ListBullet"/>
        <w:keepLines w:val="1"/>
        <w:widowControl w:val="1"/>
      </w:pPr>
      <w:r>
        <w:t>Beneficios_Totales = SUMA(B1:B5)</w:t>
      </w:r>
    </w:p>
    <w:p>
      <w:pPr>
        <w:pStyle w:val="Heading3"/>
        <w:keepNext/>
        <w:keepLines/>
      </w:pPr>
      <w:r>
        <w:t>6.3. ROI</w:t>
      </w:r>
    </w:p>
    <w:p>
      <w:pPr>
        <w:pStyle w:val="ListBullet"/>
        <w:keepLines w:val="1"/>
        <w:widowControl w:val="1"/>
      </w:pPr>
      <w:r>
        <w:t>ROI% = ((Beneficios_Totales - Costes_Totales) / Costes_Totales) * 100</w:t>
      </w:r>
    </w:p>
    <w:p>
      <w:r>
        <w:t>Opcionalmente, usar tres escenarios (pesimista/base/optimista) con diferentes valores de reducción de incidentes y horas ahorradas, para mostrar rangos de ROI.</w:t>
      </w:r>
    </w:p>
    <w:p>
      <w:pPr>
        <w:pStyle w:val="Heading2"/>
        <w:keepNext/>
        <w:keepLines/>
      </w:pPr>
      <w:r>
        <w:rPr>
          <w:color w:val="0066CC"/>
        </w:rPr>
        <w:t>7. Relación entre IGM y ROI</w:t>
      </w:r>
    </w:p>
    <w:p>
      <w:r>
        <w:t>Se recomienda incluir una tabla o gráfico que represente:</w:t>
      </w:r>
    </w:p>
    <w:p>
      <w:pPr>
        <w:pStyle w:val="ListBullet"/>
        <w:keepLines w:val="1"/>
        <w:keepNext w:val="1"/>
        <w:widowControl w:val="1"/>
      </w:pPr>
      <w:r>
        <w:t xml:space="preserve">Eje X: IGM_Total  </w:t>
      </w:r>
    </w:p>
    <w:p>
      <w:pPr>
        <w:pStyle w:val="ListBullet"/>
        <w:keepLines w:val="1"/>
        <w:widowControl w:val="1"/>
      </w:pPr>
      <w:r>
        <w:t xml:space="preserve">Eje Y: ROI%  </w:t>
      </w:r>
    </w:p>
    <w:p>
      <w:r>
        <w:t>y analizar si mayores niveles de madurez SASE (IGM) se correlacionan con mejores retornos económicos y menor riesgo. Esto permite argumentar que no se trata solo de “cumplir ENS/NIS2”, sino de gestionar bien inversiones.</w:t>
      </w:r>
    </w:p>
    <w:p>
      <w:pPr>
        <w:pStyle w:val="Heading2"/>
        <w:keepNext/>
        <w:keepLines/>
      </w:pPr>
      <w:r>
        <w:rPr>
          <w:color w:val="0066CC"/>
        </w:rPr>
        <w:t>8. Notas prácticas</w:t>
      </w:r>
    </w:p>
    <w:p>
      <w:pPr>
        <w:pStyle w:val="ListBullet"/>
        <w:keepLines w:val="1"/>
        <w:keepNext w:val="1"/>
        <w:widowControl w:val="1"/>
      </w:pPr>
      <w:r>
        <w:t xml:space="preserve">Documentar claramente las fuentes de datos (telemetría SASE, encuestas, sistemas financieros).  </w:t>
      </w:r>
    </w:p>
    <w:p>
      <w:pPr>
        <w:pStyle w:val="ListBullet"/>
        <w:keepLines w:val="1"/>
        <w:keepNext w:val="1"/>
        <w:widowControl w:val="1"/>
      </w:pPr>
      <w:r>
        <w:t xml:space="preserve">Versionar la hoja cuando cambien fórmulas o ponderaciones.  </w:t>
      </w:r>
    </w:p>
    <w:p>
      <w:pPr>
        <w:pStyle w:val="ListBullet"/>
        <w:keepLines w:val="1"/>
        <w:widowControl w:val="1"/>
      </w:pPr>
      <w:r>
        <w:t>Realizar revisiones anuales de parámetros y ajustar según nuevas realidades de ENS, NIS2 o el propio servicio SASE.</w:t>
        <w:br/>
        <w:t>(f) plantilla-reporte-ejecutivo-gqm-pragmatic.md</w:t>
        <w:br/>
        <w:t>text</w:t>
      </w:r>
    </w:p>
    <w:p>
      <w:pPr>
        <w:pStyle w:val="Heading1"/>
        <w:keepNext/>
        <w:keepLines/>
      </w:pPr>
      <w:r>
        <w:rPr>
          <w:color w:val="003366"/>
        </w:rPr>
        <w:t>Plantilla de Reporte Ejecutivo SASE basado en GQM + PRAGMATIC</w:t>
      </w:r>
    </w:p>
    <w:p>
      <w:r>
        <w:t>Estructura sugerida para una presentación ejecutiva (tipo PowerPoint) que comunique resultados de indicadores SASE, IGM y ROI alineados con GQM y filtrados por PRAGMATIC.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“Madurez SASE/Zero Trust y Valor para el Negocio en [Organización/Sector]” </w:t>
      </w:r>
    </w:p>
    <w:p>
      <w:pPr>
        <w:pStyle w:val="ListBullet"/>
        <w:keepLines w:val="1"/>
        <w:keepNext w:val="1"/>
        <w:widowControl w:val="1"/>
      </w:pPr>
      <w:r>
        <w:t xml:space="preserve">Subtítulo: “Resultados GQM + PRAGMATIC – [Año]”  </w:t>
      </w:r>
    </w:p>
    <w:p>
      <w:pPr>
        <w:pStyle w:val="ListBullet"/>
        <w:keepLines w:val="1"/>
        <w:widowControl w:val="1"/>
      </w:pPr>
      <w:r>
        <w:t>Ponente, fecha, logos relevantes.</w:t>
      </w:r>
    </w:p>
    <w:p>
      <w:pPr>
        <w:pStyle w:val="Heading2"/>
        <w:keepNext/>
        <w:keepLines/>
      </w:pPr>
      <w:r>
        <w:rPr>
          <w:color w:val="0066CC"/>
        </w:rPr>
        <w:t>Diapositiva 2 – Contexto y motivación</w:t>
      </w:r>
    </w:p>
    <w:p>
      <w:pPr>
        <w:pStyle w:val="ListBullet"/>
        <w:keepLines w:val="1"/>
        <w:keepNext w:val="1"/>
        <w:widowControl w:val="1"/>
      </w:pPr>
      <w:r>
        <w:t xml:space="preserve">Breve descripción de por qué SASE y Zero Trust son prioritarios (cloud, trabajo híbrido, ENS, NIS2).  </w:t>
      </w:r>
    </w:p>
    <w:p>
      <w:pPr>
        <w:pStyle w:val="ListBullet"/>
        <w:keepLines w:val="1"/>
        <w:keepNext w:val="1"/>
        <w:widowControl w:val="1"/>
      </w:pPr>
      <w:r>
        <w:t xml:space="preserve">Objetivos del ejercicio:  </w:t>
      </w:r>
    </w:p>
    <w:p>
      <w:pPr>
        <w:pStyle w:val="ListBullet"/>
        <w:keepLines w:val="1"/>
        <w:keepNext w:val="1"/>
        <w:widowControl w:val="1"/>
      </w:pPr>
      <w:r>
        <w:t xml:space="preserve">Alinear métricas con objetivos nacionales y corporativos.  </w:t>
      </w:r>
    </w:p>
    <w:p>
      <w:pPr>
        <w:pStyle w:val="ListBullet"/>
        <w:keepLines w:val="1"/>
        <w:keepNext w:val="1"/>
        <w:widowControl w:val="1"/>
      </w:pPr>
      <w:r>
        <w:t xml:space="preserve">Medir madurez SASE y su impacto.  </w:t>
      </w:r>
    </w:p>
    <w:p>
      <w:pPr>
        <w:pStyle w:val="ListBullet"/>
        <w:keepLines w:val="1"/>
        <w:widowControl w:val="1"/>
      </w:pPr>
      <w:r>
        <w:t>Identificar prioridades de mejora.</w:t>
      </w:r>
    </w:p>
    <w:p>
      <w:pPr>
        <w:pStyle w:val="Heading2"/>
        <w:keepNext/>
        <w:keepLines/>
      </w:pPr>
      <w:r>
        <w:rPr>
          <w:color w:val="0066CC"/>
        </w:rPr>
        <w:t>Diapositiva 3 – Metodología GQM + PRAGMATIC</w:t>
      </w:r>
    </w:p>
    <w:p>
      <w:pPr>
        <w:pStyle w:val="ListBullet"/>
        <w:keepLines w:val="1"/>
        <w:keepNext w:val="1"/>
        <w:widowControl w:val="1"/>
      </w:pPr>
      <w:r>
        <w:t xml:space="preserve">Esquema simple (tres niveles): Objetivos → Preguntas → Métricas.  </w:t>
      </w:r>
    </w:p>
    <w:p>
      <w:pPr>
        <w:pStyle w:val="ListBullet"/>
        <w:keepLines w:val="1"/>
        <w:keepNext w:val="1"/>
        <w:widowControl w:val="1"/>
      </w:pPr>
      <w:r>
        <w:t xml:space="preserve">Una diapositiva visual con los nueve criterios PRAGMATIC.  </w:t>
      </w:r>
    </w:p>
    <w:p>
      <w:pPr>
        <w:pStyle w:val="ListBullet"/>
        <w:keepLines w:val="1"/>
        <w:widowControl w:val="1"/>
      </w:pPr>
      <w:r>
        <w:t>Mensaje clave: “No medimos por amor a Excel, sino para tomar decisiones”.</w:t>
      </w:r>
    </w:p>
    <w:p>
      <w:pPr>
        <w:pStyle w:val="Heading2"/>
        <w:keepNext/>
        <w:keepLines/>
      </w:pPr>
      <w:r>
        <w:rPr>
          <w:color w:val="0066CC"/>
        </w:rPr>
        <w:t>Diapositiva 4 – Objetivos de alto nivel</w:t>
      </w:r>
    </w:p>
    <w:p>
      <w:pPr>
        <w:pStyle w:val="ListBullet"/>
        <w:keepLines w:val="1"/>
        <w:keepNext w:val="1"/>
        <w:widowControl w:val="1"/>
      </w:pPr>
      <w:r>
        <w:t xml:space="preserve">Listado de 3–5 objetivos:  </w:t>
      </w:r>
    </w:p>
    <w:p>
      <w:pPr>
        <w:pStyle w:val="ListBullet"/>
        <w:keepLines w:val="1"/>
        <w:keepNext w:val="1"/>
        <w:widowControl w:val="1"/>
      </w:pPr>
      <w:r>
        <w:t xml:space="preserve">Garantizar continuidad de servicios esenciales.  </w:t>
      </w:r>
    </w:p>
    <w:p>
      <w:pPr>
        <w:pStyle w:val="ListBullet"/>
        <w:keepLines w:val="1"/>
        <w:keepNext w:val="1"/>
        <w:widowControl w:val="1"/>
      </w:pPr>
      <w:r>
        <w:t xml:space="preserve">Reducir riesgo de incidentes en acceso remoto/cloud.  </w:t>
      </w:r>
    </w:p>
    <w:p>
      <w:pPr>
        <w:pStyle w:val="ListBullet"/>
        <w:keepLines w:val="1"/>
        <w:keepNext w:val="1"/>
        <w:widowControl w:val="1"/>
      </w:pPr>
      <w:r>
        <w:t xml:space="preserve">Mejorar experiencia de usuario segura.  </w:t>
      </w:r>
    </w:p>
    <w:p>
      <w:pPr>
        <w:pStyle w:val="ListBullet"/>
        <w:keepLines w:val="1"/>
        <w:keepNext w:val="1"/>
        <w:widowControl w:val="1"/>
      </w:pPr>
      <w:r>
        <w:t xml:space="preserve">Cumplir ENS/NIS2 de forma eficiente.  </w:t>
      </w:r>
    </w:p>
    <w:p>
      <w:pPr>
        <w:pStyle w:val="ListBullet"/>
        <w:keepLines w:val="1"/>
        <w:widowControl w:val="1"/>
      </w:pPr>
      <w:r>
        <w:t>Optimizar gastos mediante consolidación.</w:t>
      </w:r>
    </w:p>
    <w:p>
      <w:pPr>
        <w:pStyle w:val="Heading2"/>
        <w:keepNext/>
        <w:keepLines/>
      </w:pPr>
      <w:r>
        <w:rPr>
          <w:color w:val="0066CC"/>
        </w:rPr>
        <w:t>Diapositiva 5 – Vista global del IGM</w:t>
      </w:r>
    </w:p>
    <w:p>
      <w:pPr>
        <w:pStyle w:val="ListBullet"/>
        <w:keepLines w:val="1"/>
        <w:keepNext w:val="1"/>
        <w:widowControl w:val="1"/>
      </w:pPr>
      <w:r>
        <w:t xml:space="preserve">Gráfico radar con las dimensiones:  </w:t>
      </w:r>
    </w:p>
    <w:p>
      <w:pPr>
        <w:pStyle w:val="ListBullet"/>
        <w:keepLines w:val="1"/>
        <w:keepNext w:val="1"/>
        <w:widowControl w:val="1"/>
      </w:pPr>
      <w:r>
        <w:t xml:space="preserve">Rendimiento &amp; QoE  </w:t>
      </w:r>
    </w:p>
    <w:p>
      <w:pPr>
        <w:pStyle w:val="ListBullet"/>
        <w:keepLines w:val="1"/>
        <w:keepNext w:val="1"/>
        <w:widowControl w:val="1"/>
      </w:pPr>
      <w:r>
        <w:t xml:space="preserve">Zero Trust &amp; Identidad  </w:t>
      </w:r>
    </w:p>
    <w:p>
      <w:pPr>
        <w:pStyle w:val="ListBullet"/>
        <w:keepLines w:val="1"/>
        <w:keepNext w:val="1"/>
        <w:widowControl w:val="1"/>
      </w:pPr>
      <w:r>
        <w:t xml:space="preserve">SOC &amp; Detección/Respuesta  </w:t>
      </w:r>
    </w:p>
    <w:p>
      <w:pPr>
        <w:pStyle w:val="ListBullet"/>
        <w:keepLines w:val="1"/>
        <w:keepNext w:val="1"/>
        <w:widowControl w:val="1"/>
      </w:pPr>
      <w:r>
        <w:t xml:space="preserve">Cumplimiento ENS/NIS2 &amp; Gobierno  </w:t>
      </w:r>
    </w:p>
    <w:p>
      <w:pPr>
        <w:pStyle w:val="ListBullet"/>
        <w:keepLines w:val="1"/>
        <w:keepNext w:val="1"/>
        <w:widowControl w:val="1"/>
      </w:pPr>
      <w:r>
        <w:t xml:space="preserve">Continuidad &amp; Resiliencia  </w:t>
      </w:r>
    </w:p>
    <w:p>
      <w:pPr>
        <w:pStyle w:val="ListBullet"/>
        <w:keepLines w:val="1"/>
        <w:keepNext w:val="1"/>
        <w:widowControl w:val="1"/>
      </w:pPr>
      <w:r>
        <w:br/>
        <w:t>Negocio &amp; ROI</w:t>
        <w:br/>
      </w:r>
    </w:p>
    <w:p>
      <w:pPr>
        <w:pStyle w:val="ListBullet"/>
        <w:keepLines w:val="1"/>
        <w:widowControl w:val="1"/>
      </w:pPr>
      <w:r>
        <w:br/>
        <w:t>Mensaje: dónde se concentran fortalezas y debilidades.</w:t>
        <w:br/>
      </w:r>
    </w:p>
    <w:p>
      <w:r>
        <w:t>Negocio &amp; ROI</w:t>
      </w:r>
    </w:p>
    <w:p>
      <w:r>
        <w:t>Mensaje: dónde se concentran fortalezas y debilidades.</w:t>
      </w:r>
    </w:p>
    <w:p>
      <w:pPr>
        <w:pStyle w:val="Heading2"/>
        <w:keepNext/>
        <w:keepLines/>
      </w:pPr>
      <w:r>
        <w:rPr>
          <w:color w:val="0066CC"/>
        </w:rPr>
        <w:t>Diapositiva 6 – Métricas clave seleccionadas (PRAGMATIC top)</w:t>
      </w:r>
    </w:p>
    <w:p>
      <w:pPr>
        <w:pStyle w:val="ListBullet"/>
        <w:keepLines w:val="1"/>
        <w:keepNext w:val="1"/>
        <w:widowControl w:val="1"/>
      </w:pPr>
      <w:r>
        <w:t xml:space="preserve">Tabla sencilla con 8–12 métricas “estrella”:  </w:t>
      </w:r>
    </w:p>
    <w:p>
      <w:pPr>
        <w:pStyle w:val="ListBullet"/>
        <w:keepLines w:val="1"/>
        <w:keepNext w:val="1"/>
        <w:widowControl w:val="1"/>
      </w:pPr>
      <w:r>
        <w:t xml:space="preserve">Nombre de la métrica.  </w:t>
      </w:r>
    </w:p>
    <w:p>
      <w:pPr>
        <w:pStyle w:val="ListBullet"/>
        <w:keepLines w:val="1"/>
        <w:keepNext w:val="1"/>
        <w:widowControl w:val="1"/>
      </w:pPr>
      <w:r>
        <w:t xml:space="preserve">Relación G (objetivo).  </w:t>
      </w:r>
    </w:p>
    <w:p>
      <w:pPr>
        <w:pStyle w:val="ListBullet"/>
        <w:keepLines w:val="1"/>
        <w:keepNext w:val="1"/>
        <w:widowControl w:val="1"/>
      </w:pPr>
      <w:r>
        <w:br/>
        <w:t xml:space="preserve">Breve comentario.  </w:t>
        <w:br/>
      </w:r>
    </w:p>
    <w:p>
      <w:pPr>
        <w:pStyle w:val="ListBullet"/>
        <w:keepLines w:val="1"/>
        <w:widowControl w:val="1"/>
      </w:pPr>
      <w:r>
        <w:br/>
        <w:t>Nota: se han priorizado por su alta puntuación PRAGMATIC.</w:t>
        <w:br/>
      </w:r>
    </w:p>
    <w:p>
      <w:r>
        <w:t xml:space="preserve">Breve comentario.  </w:t>
      </w:r>
    </w:p>
    <w:p>
      <w:r>
        <w:t>Nota: se han priorizado por su alta puntuación PRAGMATIC.</w:t>
      </w:r>
    </w:p>
    <w:p>
      <w:pPr>
        <w:pStyle w:val="Heading2"/>
        <w:keepNext/>
        <w:keepLines/>
      </w:pPr>
      <w:r>
        <w:rPr>
          <w:color w:val="0066CC"/>
        </w:rPr>
        <w:t>Diapositiva 7 – Rendimiento &amp; QoE</w:t>
      </w:r>
    </w:p>
    <w:p>
      <w:pPr>
        <w:pStyle w:val="ListBullet"/>
        <w:keepLines w:val="1"/>
        <w:keepNext w:val="1"/>
        <w:widowControl w:val="1"/>
      </w:pPr>
      <w:r>
        <w:t xml:space="preserve">Gráficos:  </w:t>
      </w:r>
    </w:p>
    <w:p>
      <w:pPr>
        <w:pStyle w:val="ListBullet"/>
        <w:keepLines w:val="1"/>
        <w:keepNext w:val="1"/>
        <w:widowControl w:val="1"/>
      </w:pPr>
      <w:r>
        <w:t xml:space="preserve">Latencia p95 vs. umbrales objetivo para apps críticas.  </w:t>
      </w:r>
    </w:p>
    <w:p>
      <w:pPr>
        <w:pStyle w:val="ListBullet"/>
        <w:keepLines w:val="1"/>
        <w:keepNext w:val="1"/>
        <w:widowControl w:val="1"/>
      </w:pPr>
      <w:r>
        <w:br/>
        <w:t>Tiempo de transacción medio en servicios clave.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Mensajes:  </w:t>
        <w:br/>
      </w:r>
    </w:p>
    <w:p>
      <w:pPr>
        <w:pStyle w:val="ListBullet"/>
        <w:keepLines w:val="1"/>
        <w:keepNext w:val="1"/>
        <w:widowControl w:val="1"/>
      </w:pPr>
      <w:r>
        <w:t xml:space="preserve">¿Dónde estamos respecto a umbrales “aceptables”?  </w:t>
      </w:r>
    </w:p>
    <w:p>
      <w:pPr>
        <w:pStyle w:val="ListBullet"/>
        <w:keepLines w:val="1"/>
        <w:widowControl w:val="1"/>
      </w:pPr>
      <w:r>
        <w:t>Impacto percibido en usuarios.</w:t>
      </w:r>
    </w:p>
    <w:p>
      <w:r>
        <w:t>Tiempo de transacción medio en servicios clave.</w:t>
      </w:r>
    </w:p>
    <w:p>
      <w:r>
        <w:t xml:space="preserve">Mensajes:  </w:t>
      </w:r>
    </w:p>
    <w:p>
      <w:pPr>
        <w:pStyle w:val="Heading2"/>
        <w:keepNext/>
        <w:keepLines/>
      </w:pPr>
      <w:r>
        <w:rPr>
          <w:color w:val="0066CC"/>
        </w:rPr>
        <w:t>Diapositiva 8 – Zero Trust &amp; Identidad</w:t>
      </w:r>
    </w:p>
    <w:p>
      <w:pPr>
        <w:pStyle w:val="ListBullet"/>
        <w:keepLines w:val="1"/>
        <w:keepNext w:val="1"/>
        <w:widowControl w:val="1"/>
      </w:pPr>
      <w:r>
        <w:t xml:space="preserve">Gráfico de barras: % MFA, % apps críticas vía ZTNA, % accesos privilegiados bajo control ZT.  </w:t>
      </w:r>
    </w:p>
    <w:p>
      <w:pPr>
        <w:pStyle w:val="ListBullet"/>
        <w:keepLines w:val="1"/>
        <w:keepNext w:val="1"/>
        <w:widowControl w:val="1"/>
      </w:pPr>
      <w:r>
        <w:t xml:space="preserve">Comentario:  </w:t>
      </w:r>
    </w:p>
    <w:p>
      <w:pPr>
        <w:pStyle w:val="ListBullet"/>
        <w:keepLines w:val="1"/>
        <w:keepNext w:val="1"/>
        <w:widowControl w:val="1"/>
      </w:pPr>
      <w:r>
        <w:t xml:space="preserve">Brecha entre discurso Zero Trust y realidad.  </w:t>
      </w:r>
    </w:p>
    <w:p>
      <w:pPr>
        <w:pStyle w:val="ListBullet"/>
        <w:keepLines w:val="1"/>
        <w:widowControl w:val="1"/>
      </w:pPr>
      <w:r>
        <w:t>Riesgos asociados a áreas con baja cobertura.</w:t>
      </w:r>
    </w:p>
    <w:p>
      <w:pPr>
        <w:pStyle w:val="Heading2"/>
        <w:keepNext/>
        <w:keepLines/>
      </w:pPr>
      <w:r>
        <w:rPr>
          <w:color w:val="0066CC"/>
        </w:rPr>
        <w:t>Diapositiva 9 – SOC, detección y respuesta</w:t>
      </w:r>
    </w:p>
    <w:p>
      <w:pPr>
        <w:pStyle w:val="ListBullet"/>
        <w:keepLines w:val="1"/>
        <w:keepNext w:val="1"/>
        <w:widowControl w:val="1"/>
      </w:pPr>
      <w:r>
        <w:t xml:space="preserve">Tabla/gráfico: MTTD, MTTC, MTTR vs. objetivos.  </w:t>
      </w:r>
    </w:p>
    <w:p>
      <w:pPr>
        <w:pStyle w:val="ListBullet"/>
        <w:keepLines w:val="1"/>
        <w:keepNext w:val="1"/>
        <w:widowControl w:val="1"/>
      </w:pPr>
      <w:r>
        <w:t xml:space="preserve">Volumen y tipos de incidentes/amenazas.  </w:t>
      </w:r>
    </w:p>
    <w:p>
      <w:pPr>
        <w:pStyle w:val="ListBullet"/>
        <w:keepLines w:val="1"/>
        <w:keepNext w:val="1"/>
        <w:widowControl w:val="1"/>
      </w:pPr>
      <w:r>
        <w:t xml:space="preserve">Mensaje:  </w:t>
      </w:r>
    </w:p>
    <w:p>
      <w:pPr>
        <w:pStyle w:val="ListBullet"/>
        <w:keepLines w:val="1"/>
        <w:keepNext w:val="1"/>
        <w:widowControl w:val="1"/>
      </w:pPr>
      <w:r>
        <w:t xml:space="preserve">¿La telemetría SASE está bien explotada?  </w:t>
      </w:r>
    </w:p>
    <w:p>
      <w:pPr>
        <w:pStyle w:val="ListBullet"/>
        <w:keepLines w:val="1"/>
        <w:widowControl w:val="1"/>
      </w:pPr>
      <w:r>
        <w:t>¿Dónde se atasca el flujo de respuesta?</w:t>
      </w:r>
    </w:p>
    <w:p>
      <w:pPr>
        <w:pStyle w:val="Heading2"/>
        <w:keepNext/>
        <w:keepLines/>
      </w:pPr>
      <w:r>
        <w:rPr>
          <w:color w:val="0066CC"/>
        </w:rPr>
        <w:t>Diapositiva 10 – Cumplimiento ENS/NIS2</w:t>
      </w:r>
    </w:p>
    <w:p>
      <w:pPr>
        <w:pStyle w:val="ListBullet"/>
        <w:keepLines w:val="1"/>
        <w:keepNext w:val="1"/>
        <w:widowControl w:val="1"/>
      </w:pPr>
      <w:r>
        <w:t xml:space="preserve">% proyectos cloud integrados en SASE.  </w:t>
      </w:r>
    </w:p>
    <w:p>
      <w:pPr>
        <w:pStyle w:val="ListBullet"/>
        <w:keepLines w:val="1"/>
        <w:keepNext w:val="1"/>
        <w:widowControl w:val="1"/>
      </w:pPr>
      <w:r>
        <w:t xml:space="preserve">% sistemas ENS medio/alto canalizados vía SASE/ZTNA.  </w:t>
      </w:r>
    </w:p>
    <w:p>
      <w:pPr>
        <w:pStyle w:val="ListBullet"/>
        <w:keepLines w:val="1"/>
        <w:keepNext w:val="1"/>
        <w:widowControl w:val="1"/>
      </w:pPr>
      <w:r>
        <w:t xml:space="preserve">Grado de mapeo formal SASE–ENS/NIS2.  </w:t>
      </w:r>
    </w:p>
    <w:p>
      <w:pPr>
        <w:pStyle w:val="ListBullet"/>
        <w:keepLines w:val="1"/>
        <w:keepNext w:val="1"/>
        <w:widowControl w:val="1"/>
      </w:pPr>
      <w:r>
        <w:t xml:space="preserve">Mensaje:  </w:t>
      </w:r>
    </w:p>
    <w:p>
      <w:pPr>
        <w:pStyle w:val="ListBullet"/>
        <w:keepLines w:val="1"/>
        <w:widowControl w:val="1"/>
      </w:pPr>
      <w:r>
        <w:t>Desde el “cumplir en el papel” al “cumplir en la red”.</w:t>
      </w:r>
    </w:p>
    <w:p>
      <w:pPr>
        <w:pStyle w:val="Heading2"/>
        <w:keepNext/>
        <w:keepLines/>
      </w:pPr>
      <w:r>
        <w:rPr>
          <w:color w:val="0066CC"/>
        </w:rPr>
        <w:t>Diapositiva 11 – Continuidad &amp; Resiliencia</w:t>
      </w:r>
    </w:p>
    <w:p>
      <w:pPr>
        <w:pStyle w:val="ListBullet"/>
        <w:keepLines w:val="1"/>
        <w:keepNext w:val="1"/>
        <w:widowControl w:val="1"/>
      </w:pPr>
      <w:r>
        <w:t xml:space="preserve">Inclusión de SASE en planes de continuidad.  </w:t>
      </w:r>
    </w:p>
    <w:p>
      <w:pPr>
        <w:pStyle w:val="ListBullet"/>
        <w:keepLines w:val="1"/>
        <w:keepNext w:val="1"/>
        <w:widowControl w:val="1"/>
      </w:pPr>
      <w:r>
        <w:t xml:space="preserve">Tiempo de conmutación PoP/enlace.  </w:t>
      </w:r>
    </w:p>
    <w:p>
      <w:pPr>
        <w:pStyle w:val="ListBullet"/>
        <w:keepLines w:val="1"/>
        <w:keepNext w:val="1"/>
        <w:widowControl w:val="1"/>
      </w:pPr>
      <w:r>
        <w:t xml:space="preserve">Indisponibilidad anual atribuible a SASE.  </w:t>
      </w:r>
    </w:p>
    <w:p>
      <w:pPr>
        <w:pStyle w:val="ListBullet"/>
        <w:keepLines w:val="1"/>
        <w:keepNext w:val="1"/>
        <w:widowControl w:val="1"/>
      </w:pPr>
      <w:r>
        <w:t xml:space="preserve">Mensaje:  </w:t>
      </w:r>
    </w:p>
    <w:p>
      <w:pPr>
        <w:pStyle w:val="ListBullet"/>
        <w:keepLines w:val="1"/>
        <w:keepNext w:val="1"/>
        <w:widowControl w:val="1"/>
      </w:pPr>
      <w:r>
        <w:t xml:space="preserve">¿SASE ayuda a que todo falle de forma digna?  </w:t>
      </w:r>
    </w:p>
    <w:p>
      <w:pPr>
        <w:pStyle w:val="ListBullet"/>
        <w:keepLines w:val="1"/>
        <w:widowControl w:val="1"/>
      </w:pPr>
      <w:r>
        <w:t>¿Se prueba la arquitectura en situaciones simuladas?</w:t>
      </w:r>
    </w:p>
    <w:p>
      <w:pPr>
        <w:pStyle w:val="Heading2"/>
        <w:keepNext/>
        <w:keepLines/>
      </w:pPr>
      <w:r>
        <w:rPr>
          <w:color w:val="0066CC"/>
        </w:rPr>
        <w:t>Diapositiva 12 – Negocio &amp; ROI</w:t>
      </w:r>
    </w:p>
    <w:p>
      <w:pPr>
        <w:pStyle w:val="ListBullet"/>
        <w:keepLines w:val="1"/>
        <w:keepNext w:val="1"/>
        <w:widowControl w:val="1"/>
      </w:pPr>
      <w:r>
        <w:t xml:space="preserve">Costes totales vs. beneficios totales anuales.  </w:t>
      </w:r>
    </w:p>
    <w:p>
      <w:pPr>
        <w:pStyle w:val="ListBullet"/>
        <w:keepLines w:val="1"/>
        <w:keepNext w:val="1"/>
        <w:widowControl w:val="1"/>
      </w:pPr>
      <w:r>
        <w:t xml:space="preserve">ROI estimado (con banda de escenarios).  </w:t>
      </w:r>
    </w:p>
    <w:p>
      <w:pPr>
        <w:pStyle w:val="ListBullet"/>
        <w:keepLines w:val="1"/>
        <w:keepNext w:val="1"/>
        <w:widowControl w:val="1"/>
      </w:pPr>
      <w:r>
        <w:t xml:space="preserve">Ejemplos de ahorro y coste evitado.  </w:t>
      </w:r>
    </w:p>
    <w:p>
      <w:pPr>
        <w:pStyle w:val="ListBullet"/>
        <w:keepLines w:val="1"/>
        <w:keepNext w:val="1"/>
        <w:widowControl w:val="1"/>
      </w:pPr>
      <w:r>
        <w:t xml:space="preserve">Mensaje:  </w:t>
      </w:r>
    </w:p>
    <w:p>
      <w:pPr>
        <w:pStyle w:val="ListBullet"/>
        <w:keepLines w:val="1"/>
        <w:widowControl w:val="1"/>
      </w:pPr>
      <w:r>
        <w:t>SASE como inversión en resiliencia y eficiencia, no solo como gasto obligado.</w:t>
      </w:r>
    </w:p>
    <w:p>
      <w:pPr>
        <w:pStyle w:val="Heading2"/>
        <w:keepNext/>
        <w:keepLines/>
      </w:pPr>
      <w:r>
        <w:rPr>
          <w:color w:val="0066CC"/>
        </w:rPr>
        <w:t>Diapositiva 13 – Priorización (Matriz impacto–esfuerzo)</w:t>
      </w:r>
    </w:p>
    <w:p>
      <w:pPr>
        <w:pStyle w:val="ListBullet"/>
        <w:keepLines w:val="1"/>
        <w:keepNext w:val="1"/>
        <w:widowControl w:val="1"/>
      </w:pPr>
      <w:r>
        <w:t xml:space="preserve">Ejes: impacto en objetivo / esfuerzo de implantación.  </w:t>
      </w:r>
    </w:p>
    <w:p>
      <w:pPr>
        <w:pStyle w:val="ListBullet"/>
        <w:keepLines w:val="1"/>
        <w:keepNext w:val="1"/>
        <w:widowControl w:val="1"/>
      </w:pPr>
      <w:r>
        <w:t xml:space="preserve">Posicionar iniciativas:  </w:t>
      </w:r>
    </w:p>
    <w:p>
      <w:pPr>
        <w:pStyle w:val="ListBullet"/>
        <w:keepLines w:val="1"/>
        <w:keepNext w:val="1"/>
        <w:widowControl w:val="1"/>
      </w:pPr>
      <w:r>
        <w:t xml:space="preserve">Migrar VPN → ZTNA.  </w:t>
      </w:r>
    </w:p>
    <w:p>
      <w:pPr>
        <w:pStyle w:val="ListBullet"/>
        <w:keepLines w:val="1"/>
        <w:keepNext w:val="1"/>
        <w:widowControl w:val="1"/>
      </w:pPr>
      <w:r>
        <w:t xml:space="preserve">Integrar totalmente telemetría SASE en SIEM.  </w:t>
      </w:r>
    </w:p>
    <w:p>
      <w:pPr>
        <w:pStyle w:val="ListBullet"/>
        <w:keepLines w:val="1"/>
        <w:keepNext w:val="1"/>
        <w:widowControl w:val="1"/>
      </w:pPr>
      <w:r>
        <w:t xml:space="preserve">Definir SLOs de QoE.  </w:t>
      </w:r>
    </w:p>
    <w:p>
      <w:pPr>
        <w:pStyle w:val="ListBullet"/>
        <w:keepLines w:val="1"/>
        <w:widowControl w:val="1"/>
      </w:pPr>
      <w:r>
        <w:t>Alinear formalmente SASE–ENS/NIS2.</w:t>
      </w:r>
    </w:p>
    <w:p>
      <w:pPr>
        <w:pStyle w:val="Heading2"/>
        <w:keepNext/>
        <w:keepLines/>
      </w:pPr>
      <w:r>
        <w:rPr>
          <w:color w:val="0066CC"/>
        </w:rPr>
        <w:t>Diapositiva 14 – Recomendaciones y próximos pasos</w:t>
      </w:r>
    </w:p>
    <w:p>
      <w:pPr>
        <w:pStyle w:val="ListBullet"/>
        <w:keepLines w:val="1"/>
        <w:keepNext w:val="1"/>
        <w:widowControl w:val="1"/>
      </w:pPr>
      <w:r>
        <w:t xml:space="preserve">Top 5 acciones recomendadas.  </w:t>
      </w:r>
    </w:p>
    <w:p>
      <w:pPr>
        <w:pStyle w:val="ListBullet"/>
        <w:keepLines w:val="1"/>
        <w:keepNext w:val="1"/>
        <w:widowControl w:val="1"/>
      </w:pPr>
      <w:r>
        <w:t xml:space="preserve">Plazos sugeridos (corto/medio/largo).  </w:t>
      </w:r>
    </w:p>
    <w:p>
      <w:pPr>
        <w:pStyle w:val="ListBullet"/>
        <w:keepLines w:val="1"/>
        <w:widowControl w:val="1"/>
      </w:pPr>
      <w:r>
        <w:t>Responsables.</w:t>
      </w:r>
    </w:p>
    <w:p>
      <w:pPr>
        <w:pStyle w:val="Heading2"/>
        <w:keepNext/>
        <w:keepLines/>
      </w:pPr>
      <w:r>
        <w:rPr>
          <w:color w:val="0066CC"/>
        </w:rPr>
        <w:t>Diapositiva 15 – Cierre</w:t>
      </w:r>
    </w:p>
    <w:p>
      <w:pPr>
        <w:pStyle w:val="ListBullet"/>
        <w:keepLines w:val="1"/>
        <w:keepNext w:val="1"/>
        <w:widowControl w:val="1"/>
      </w:pPr>
      <w:r>
        <w:t xml:space="preserve">Síntesis: 1–2 mensajes clave (por ejemplo, “mejora visible en QoE, pero tareas pendientes en Zero Trust y mapeo ENS/NIS2”).  </w:t>
      </w:r>
    </w:p>
    <w:p>
      <w:pPr>
        <w:pStyle w:val="ListBullet"/>
        <w:keepLines w:val="1"/>
        <w:keepNext w:val="1"/>
        <w:widowControl w:val="1"/>
      </w:pPr>
      <w:r>
        <w:t xml:space="preserve">Propuesta de cadencia para repetir la medición (anual, bienal).  </w:t>
      </w:r>
    </w:p>
    <w:p>
      <w:pPr>
        <w:pStyle w:val="ListBullet"/>
        <w:keepLines w:val="1"/>
        <w:widowControl w:val="1"/>
      </w:pPr>
      <w:r>
        <w:t>Invitación al debate con el comité de dirección.</w:t>
      </w:r>
    </w:p>
    <w:p>
      <w:pPr>
        <w:pStyle w:val="Heading2"/>
        <w:keepNext/>
        <w:keepLines/>
      </w:pPr>
      <w:r>
        <w:rPr>
          <w:color w:val="0066CC"/>
        </w:rPr>
        <w:t>Notas de estilo</w:t>
      </w:r>
    </w:p>
    <w:p>
      <w:pPr>
        <w:pStyle w:val="ListBullet"/>
        <w:keepLines w:val="1"/>
        <w:keepNext w:val="1"/>
        <w:widowControl w:val="1"/>
      </w:pPr>
      <w:r>
        <w:t xml:space="preserve">Evitar exceso de métricas en cada slide; mejor pocas, seleccionadas por su calidad PRAGMATIC.  </w:t>
      </w:r>
    </w:p>
    <w:p>
      <w:pPr>
        <w:pStyle w:val="ListBullet"/>
        <w:keepLines w:val="1"/>
        <w:keepNext w:val="1"/>
        <w:widowControl w:val="1"/>
      </w:pPr>
      <w:r>
        <w:t xml:space="preserve">Añadir en notas del ponente la traza GQM de cada métrica (objetivo–pregunta–métrica) para uso interno.  </w:t>
      </w:r>
    </w:p>
    <w:p>
      <w:pPr>
        <w:pStyle w:val="ListBullet"/>
        <w:keepLines w:val="1"/>
        <w:widowControl w:val="1"/>
      </w:pPr>
      <w:r>
        <w:t>Usar colores y códigos visuales consistentes para indicar “en verde / en ámbar / en rojo”.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