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Guía metodológica de la Encuesta SASE</w:t>
      </w:r>
    </w:p>
    <w:p>
      <w:r>
        <w:t>Documento de referencia para el diseño, despliegue, análisis y uso estratégico de la Encuesta Integral sobre Adopción, Madurez e Indicadores SASE.</w:t>
      </w:r>
    </w:p>
    <w:p>
      <w:pPr>
        <w:pStyle w:val="Heading2"/>
        <w:keepNext/>
        <w:keepLines/>
      </w:pPr>
      <w:r>
        <w:rPr>
          <w:color w:val="0066CC"/>
        </w:rPr>
        <w:t>1. Objetivos de la encuesta</w:t>
      </w:r>
    </w:p>
    <w:p>
      <w:r>
        <w:t>La encuesta persigue tres objetivos principales:</w:t>
      </w:r>
    </w:p>
    <w:p>
      <w:pPr>
        <w:pStyle w:val="ListNumber"/>
        <w:keepLines w:val="1"/>
        <w:keepNext w:val="1"/>
        <w:widowControl w:val="1"/>
      </w:pPr>
      <w:r>
        <w:t>Medir el grado de adopción real de arquitecturas SASE/SSE y Zero Trust en organizaciones españolas y, en su caso, compararlo con tendencias internacionales.</w:t>
      </w:r>
    </w:p>
    <w:p>
      <w:pPr>
        <w:pStyle w:val="ListNumber"/>
        <w:keepLines w:val="1"/>
        <w:keepNext w:val="1"/>
        <w:widowControl w:val="1"/>
      </w:pPr>
      <w:r>
        <w:t>Cuantificar la madurez SASE desde varias dimensiones: técnica (red/seguridad), gobernanza, cumplimiento ENS/NIS2, experiencia de usuario (QoE), continuidad de negocio y retorno de la inversión.</w:t>
      </w:r>
    </w:p>
    <w:p>
      <w:pPr>
        <w:pStyle w:val="ListNumber"/>
        <w:keepLines w:val="1"/>
        <w:widowControl w:val="1"/>
      </w:pPr>
      <w:r>
        <w:t>Proporcionar insumos cuantitativos y cualitativos para priorizar iniciativas de transformación, justificar inversiones y refinar políticas públicas y corporativas relacionadas con SASE/Zero Trust.</w:t>
      </w:r>
    </w:p>
    <w:p>
      <w:pPr>
        <w:pStyle w:val="Heading2"/>
        <w:keepNext/>
        <w:keepLines/>
      </w:pPr>
      <w:r>
        <w:rPr>
          <w:color w:val="0066CC"/>
        </w:rPr>
        <w:t>2. Población objetivo y roles</w:t>
      </w:r>
    </w:p>
    <w:p>
      <w:r>
        <w:t>La encuesta está dirigida especialmente a organizaciones con dependencia significativa de servicios digitales, nube y trabajo remoto/híbrido. Se recomienda dirigirla a los siguientes perfiles:</w:t>
      </w:r>
    </w:p>
    <w:p>
      <w:pPr>
        <w:pStyle w:val="ListBullet"/>
        <w:keepLines w:val="1"/>
        <w:keepNext w:val="1"/>
        <w:widowControl w:val="1"/>
      </w:pPr>
      <w:r>
        <w:t>CISO / Responsable de Ciberseguridad.</w:t>
      </w:r>
    </w:p>
    <w:p>
      <w:pPr>
        <w:pStyle w:val="ListBullet"/>
        <w:keepLines w:val="1"/>
        <w:keepNext w:val="1"/>
        <w:widowControl w:val="1"/>
      </w:pPr>
      <w:r>
        <w:t>Responsable de Redes / Infraestructura / Arquitectura.</w:t>
      </w:r>
    </w:p>
    <w:p>
      <w:pPr>
        <w:pStyle w:val="ListBullet"/>
        <w:keepLines w:val="1"/>
        <w:keepNext w:val="1"/>
        <w:widowControl w:val="1"/>
      </w:pPr>
      <w:r>
        <w:t>Responsable de Continuidad de Negocio y/o Resiliencia Operacional.</w:t>
      </w:r>
    </w:p>
    <w:p>
      <w:pPr>
        <w:pStyle w:val="ListBullet"/>
        <w:keepLines w:val="1"/>
        <w:keepNext w:val="1"/>
        <w:widowControl w:val="1"/>
      </w:pPr>
      <w:r>
        <w:t>Responsable de Riesgos / Cumplimiento / Auditoría de TI.</w:t>
      </w:r>
    </w:p>
    <w:p>
      <w:pPr>
        <w:pStyle w:val="ListBullet"/>
        <w:keepLines w:val="1"/>
        <w:widowControl w:val="1"/>
      </w:pPr>
      <w:r>
        <w:t>En organizaciones grandes, puede resultar útil que varios de estos roles respondan de forma coordinada.</w:t>
      </w:r>
    </w:p>
    <w:p>
      <w:r>
        <w:t>Es perfectamente lícito que la misma persona lleve varias de estas gorras; la encuesta está pensada para capturar la visión “global” de la casa, no para generar conflictos internos.</w:t>
      </w:r>
    </w:p>
    <w:p>
      <w:pPr>
        <w:pStyle w:val="Heading2"/>
        <w:keepNext/>
        <w:keepLines/>
      </w:pPr>
      <w:r>
        <w:rPr>
          <w:color w:val="0066CC"/>
        </w:rPr>
        <w:t>3. Estructura de la encuesta y lógica de secciones</w:t>
      </w:r>
    </w:p>
    <w:p>
      <w:r>
        <w:t>La encuesta se divide en diez bloques:</w:t>
      </w:r>
    </w:p>
    <w:p>
      <w:pPr>
        <w:pStyle w:val="ListNumber"/>
        <w:keepLines w:val="1"/>
        <w:keepNext w:val="1"/>
        <w:widowControl w:val="1"/>
      </w:pPr>
      <w:r>
        <w:t>Datos generales: tamaño, sector, tipo de organización, volumen de usuarios remotos.</w:t>
      </w:r>
    </w:p>
    <w:p>
      <w:pPr>
        <w:pStyle w:val="ListNumber"/>
        <w:keepLines w:val="1"/>
        <w:keepNext w:val="1"/>
        <w:widowControl w:val="1"/>
      </w:pPr>
      <w:r>
        <w:t>Arquitectura de red y seguridad: estado actual de VPN, SD‑WAN, SASE/SSE.</w:t>
      </w:r>
    </w:p>
    <w:p>
      <w:pPr>
        <w:pStyle w:val="ListNumber"/>
        <w:keepLines w:val="1"/>
        <w:keepNext w:val="1"/>
        <w:widowControl w:val="1"/>
      </w:pPr>
      <w:r>
        <w:t>Identidad y Zero Trust: MFA, políticas contextuales, segmentación, ZTNA.</w:t>
      </w:r>
    </w:p>
    <w:p>
      <w:pPr>
        <w:pStyle w:val="ListNumber"/>
        <w:keepLines w:val="1"/>
        <w:keepNext w:val="1"/>
        <w:widowControl w:val="1"/>
      </w:pPr>
      <w:r>
        <w:t>Rendimiento, QoS y QoE: medición de latencia, SLOs, experiencia percibida.</w:t>
      </w:r>
    </w:p>
    <w:p>
      <w:pPr>
        <w:pStyle w:val="ListNumber"/>
        <w:keepLines w:val="1"/>
        <w:keepNext w:val="1"/>
        <w:widowControl w:val="1"/>
      </w:pPr>
      <w:r>
        <w:t>Seguridad, detección y respuesta: telemetría, MTTD/MTTR, amenazas, falsos positivos.</w:t>
      </w:r>
    </w:p>
    <w:p>
      <w:pPr>
        <w:pStyle w:val="ListNumber"/>
        <w:keepLines w:val="1"/>
        <w:keepNext w:val="1"/>
        <w:widowControl w:val="1"/>
      </w:pPr>
      <w:r>
        <w:t>Cumplimiento ENS/NIS2: uso de SASE para implantar medidas, mapeo regulatorio, terceros.</w:t>
      </w:r>
    </w:p>
    <w:p>
      <w:pPr>
        <w:pStyle w:val="ListNumber"/>
        <w:keepLines w:val="1"/>
        <w:keepNext w:val="1"/>
        <w:widowControl w:val="1"/>
      </w:pPr>
      <w:r>
        <w:t>Adopción, madurez y consolidación: nivel de despliegue, gobernanza, percepción directiva.</w:t>
      </w:r>
    </w:p>
    <w:p>
      <w:pPr>
        <w:pStyle w:val="ListNumber"/>
        <w:keepLines w:val="1"/>
        <w:keepNext w:val="1"/>
        <w:widowControl w:val="1"/>
      </w:pPr>
      <w:r>
        <w:t>Continuidad de negocio y resiliencia: uso de SASE en planes de continuidad y diseño HA.</w:t>
      </w:r>
    </w:p>
    <w:p>
      <w:pPr>
        <w:pStyle w:val="ListNumber"/>
        <w:keepLines w:val="1"/>
        <w:keepNext w:val="1"/>
        <w:widowControl w:val="1"/>
      </w:pPr>
      <w:r>
        <w:t>Indicadores de negocio, IGM y ROI: existencia de índices de madurez y modelos financieros.</w:t>
      </w:r>
    </w:p>
    <w:p>
      <w:pPr>
        <w:pStyle w:val="ListNumber"/>
        <w:keepLines w:val="1"/>
        <w:widowControl w:val="1"/>
      </w:pPr>
      <w:r>
        <w:t>Preguntas abiertas: lecciones aprendidas y visiones cualitativas.</w:t>
      </w:r>
    </w:p>
    <w:p>
      <w:r>
        <w:t xml:space="preserve">Cada bloque se ha diseñado para que pueda agregarse a un </w:t>
      </w:r>
      <w:r>
        <w:rPr>
          <w:b/>
        </w:rPr>
        <w:t>Índice Global de Madurez (IGM)</w:t>
      </w:r>
      <w:r>
        <w:t xml:space="preserve"> y para que algunas respuestas puedan alimentar un modelo de </w:t>
      </w:r>
      <w:r>
        <w:rPr>
          <w:b/>
        </w:rPr>
        <w:t>ROI y coste evitado</w:t>
      </w:r>
      <w:r>
        <w:t>.</w:t>
      </w:r>
    </w:p>
    <w:p>
      <w:pPr>
        <w:pStyle w:val="Heading2"/>
        <w:keepNext/>
        <w:keepLines/>
      </w:pPr>
      <w:r>
        <w:rPr>
          <w:color w:val="0066CC"/>
        </w:rPr>
        <w:t>4. Tipo de preguntas y escalas recomendadas</w:t>
      </w:r>
    </w:p>
    <w:p>
      <w:r>
        <w:t>La encuesta combina varios tipos de preguntas:</w:t>
      </w:r>
    </w:p>
    <w:p>
      <w:pPr>
        <w:pStyle w:val="ListBullet"/>
        <w:keepLines w:val="1"/>
        <w:keepNext w:val="1"/>
        <w:widowControl w:val="1"/>
      </w:pPr>
      <w:r>
        <w:t>Elección única nominal (tipo de organización, sector, etc.).</w:t>
      </w:r>
    </w:p>
    <w:p>
      <w:pPr>
        <w:pStyle w:val="ListBullet"/>
        <w:keepLines w:val="1"/>
        <w:keepNext w:val="1"/>
        <w:widowControl w:val="1"/>
      </w:pPr>
      <w:r>
        <w:t>Escalas ordinales (0–25 %, 26–50 %, 51–75 %, 76–100 %) para medir coberturas y grados de adopción.</w:t>
      </w:r>
    </w:p>
    <w:p>
      <w:pPr>
        <w:pStyle w:val="ListBullet"/>
        <w:keepLines w:val="1"/>
        <w:keepNext w:val="1"/>
        <w:widowControl w:val="1"/>
      </w:pPr>
      <w:r>
        <w:t>Escalas de madurez cualitativa (exploratorio, táctico, estratégico, optimizado).</w:t>
      </w:r>
    </w:p>
    <w:p>
      <w:pPr>
        <w:pStyle w:val="ListBullet"/>
        <w:keepLines w:val="1"/>
        <w:keepNext w:val="1"/>
        <w:widowControl w:val="1"/>
      </w:pPr>
      <w:r>
        <w:t>Selección múltiple (beneficios percibidos, obstáculos principales).</w:t>
      </w:r>
    </w:p>
    <w:p>
      <w:pPr>
        <w:pStyle w:val="ListBullet"/>
        <w:keepLines w:val="1"/>
        <w:widowControl w:val="1"/>
      </w:pPr>
      <w:r>
        <w:t>Preguntas abiertas para obtener narrativas y ejemplos concretos.</w:t>
      </w:r>
    </w:p>
    <w:p>
      <w:r>
        <w:t>Se recomienda mapear cada opción ordinal a un valor numérico (por ejemplo, 1–4) para facilitar la construcción del IGM y del análisis estadístico.</w:t>
      </w:r>
    </w:p>
    <w:p>
      <w:pPr>
        <w:pStyle w:val="Heading2"/>
        <w:keepNext/>
        <w:keepLines/>
      </w:pPr>
      <w:r>
        <w:rPr>
          <w:color w:val="0066CC"/>
        </w:rPr>
        <w:t>5. Modalidad de administración</w:t>
      </w:r>
    </w:p>
    <w:p>
      <w:pPr>
        <w:pStyle w:val="Heading3"/>
        <w:keepNext/>
        <w:keepLines/>
      </w:pPr>
      <w:r>
        <w:t>5.1. Formato</w:t>
      </w:r>
    </w:p>
    <w:p>
      <w:pPr>
        <w:pStyle w:val="ListBullet"/>
        <w:keepLines w:val="1"/>
        <w:keepNext w:val="1"/>
        <w:widowControl w:val="1"/>
      </w:pPr>
      <w:r>
        <w:t>Se recomienda un formulario online (herramienta de encuestas o portal corporativo) que facilite la recogida y exportación de resultados a formato CSV/XLSX.</w:t>
      </w:r>
    </w:p>
    <w:p>
      <w:pPr>
        <w:pStyle w:val="ListBullet"/>
        <w:keepLines w:val="1"/>
        <w:widowControl w:val="1"/>
      </w:pPr>
      <w:r>
        <w:t>Alternativamente, puede distribuirse en formato PDF o DOCX para respuestas manuales, pero esto complica la agregación.</w:t>
      </w:r>
    </w:p>
    <w:p>
      <w:pPr>
        <w:pStyle w:val="Heading3"/>
        <w:keepNext/>
        <w:keepLines/>
      </w:pPr>
      <w:r>
        <w:t>5.2. Duración estimada</w:t>
      </w:r>
    </w:p>
    <w:p>
      <w:pPr>
        <w:pStyle w:val="ListBullet"/>
        <w:keepLines w:val="1"/>
        <w:keepNext w:val="1"/>
        <w:widowControl w:val="1"/>
      </w:pPr>
      <w:r>
        <w:t>La encuesta está pensada para completarse en 20–30 minutos por un responsable informado.</w:t>
      </w:r>
    </w:p>
    <w:p>
      <w:pPr>
        <w:pStyle w:val="ListBullet"/>
        <w:keepLines w:val="1"/>
        <w:widowControl w:val="1"/>
      </w:pPr>
      <w:r>
        <w:t>Si varios roles responden de manera conjunta, se puede reservar una sesión de trabajo de 45–60 minutos y completar el cuestionario de forma consensuada.</w:t>
      </w:r>
    </w:p>
    <w:p>
      <w:pPr>
        <w:pStyle w:val="Heading3"/>
        <w:keepNext/>
        <w:keepLines/>
      </w:pPr>
      <w:r>
        <w:t>5.3. Frecuencia de aplicación</w:t>
      </w:r>
    </w:p>
    <w:p>
      <w:pPr>
        <w:pStyle w:val="ListBullet"/>
        <w:keepLines w:val="1"/>
        <w:keepNext w:val="1"/>
        <w:widowControl w:val="1"/>
      </w:pPr>
      <w:r>
        <w:t>Primera aplicación: establecer la línea base (año 0).</w:t>
      </w:r>
    </w:p>
    <w:p>
      <w:pPr>
        <w:pStyle w:val="ListBullet"/>
        <w:keepLines w:val="1"/>
        <w:widowControl w:val="1"/>
      </w:pPr>
      <w:r>
        <w:t>Aplicaciones posteriores: anual o bienal, para evaluar evolución del IGM y ROI y el efecto de proyectos SASE.</w:t>
      </w:r>
    </w:p>
    <w:p>
      <w:pPr>
        <w:pStyle w:val="Heading2"/>
        <w:keepNext/>
        <w:keepLines/>
      </w:pPr>
      <w:r>
        <w:rPr>
          <w:color w:val="0066CC"/>
        </w:rPr>
        <w:t>6. Cálculo del Índice Global de Madurez (IGM)</w:t>
      </w:r>
    </w:p>
    <w:p>
      <w:pPr>
        <w:pStyle w:val="Heading3"/>
        <w:keepNext/>
        <w:keepLines/>
      </w:pPr>
      <w:r>
        <w:t>6.1. Dimensiones del IGM</w:t>
      </w:r>
    </w:p>
    <w:p>
      <w:r>
        <w:t>Se propone estructurar el IGM en las siguientes dimensiones (ponderaciones ajustables):</w:t>
      </w:r>
    </w:p>
    <w:p>
      <w:pPr>
        <w:pStyle w:val="ListNumber"/>
        <w:keepLines w:val="1"/>
        <w:keepNext w:val="1"/>
        <w:widowControl w:val="1"/>
      </w:pPr>
      <w:r>
        <w:t>Arquitectura y cobertura SASE/SSE (peso sugerido: 20 %).</w:t>
      </w:r>
    </w:p>
    <w:p>
      <w:pPr>
        <w:pStyle w:val="ListNumber"/>
        <w:keepLines w:val="1"/>
        <w:keepNext w:val="1"/>
        <w:widowControl w:val="1"/>
      </w:pPr>
      <w:r>
        <w:t>Identidad, Zero Trust y control de acceso (20 %).</w:t>
      </w:r>
    </w:p>
    <w:p>
      <w:pPr>
        <w:pStyle w:val="ListNumber"/>
        <w:keepLines w:val="1"/>
        <w:keepNext w:val="1"/>
        <w:widowControl w:val="1"/>
      </w:pPr>
      <w:r>
        <w:t>Rendimiento y experiencia (QoE/QoS) (15 %).</w:t>
      </w:r>
    </w:p>
    <w:p>
      <w:pPr>
        <w:pStyle w:val="ListNumber"/>
        <w:keepLines w:val="1"/>
        <w:keepNext w:val="1"/>
        <w:widowControl w:val="1"/>
      </w:pPr>
      <w:r>
        <w:t>Seguridad, detección y respuesta (15 %).</w:t>
      </w:r>
    </w:p>
    <w:p>
      <w:pPr>
        <w:pStyle w:val="ListNumber"/>
        <w:keepLines w:val="1"/>
        <w:keepNext w:val="1"/>
        <w:widowControl w:val="1"/>
      </w:pPr>
      <w:r>
        <w:t>Cumplimiento ENS/NIS2 y gobernanza (15 %).</w:t>
      </w:r>
    </w:p>
    <w:p>
      <w:pPr>
        <w:pStyle w:val="ListNumber"/>
        <w:keepLines w:val="1"/>
        <w:keepNext w:val="1"/>
        <w:widowControl w:val="1"/>
      </w:pPr>
      <w:r>
        <w:t>Continuidad de negocio y resiliencia (10 %).</w:t>
      </w:r>
    </w:p>
    <w:p>
      <w:pPr>
        <w:pStyle w:val="ListNumber"/>
        <w:keepLines w:val="1"/>
        <w:widowControl w:val="1"/>
      </w:pPr>
      <w:r>
        <w:t>Indicadores de negocio y ROI/IGM formalizado (5 %).</w:t>
      </w:r>
    </w:p>
    <w:p>
      <w:r>
        <w:t>Estas ponderaciones son meramente sugeridas; pueden adaptarse según el contexto sectorial (por ejemplo, reforzar cumplimiento en sectores altamente regulados).</w:t>
      </w:r>
    </w:p>
    <w:p>
      <w:pPr>
        <w:pStyle w:val="Heading3"/>
        <w:keepNext/>
        <w:keepLines/>
      </w:pPr>
      <w:r>
        <w:t>6.2. Puntuación de las respuestas</w:t>
      </w:r>
    </w:p>
    <w:p>
      <w:pPr>
        <w:pStyle w:val="ListBullet"/>
        <w:keepLines w:val="1"/>
        <w:keepNext w:val="1"/>
        <w:widowControl w:val="1"/>
      </w:pPr>
      <w:r>
        <w:t>Cada respuesta cerrada se mapea a una puntuación entre 1 y 4 (o 0–3 cuando sea necesario representar ausencia total).</w:t>
      </w:r>
    </w:p>
    <w:p>
      <w:pPr>
        <w:pStyle w:val="ListBullet"/>
        <w:keepLines w:val="1"/>
        <w:keepNext w:val="1"/>
        <w:widowControl w:val="1"/>
      </w:pPr>
      <w:r>
        <w:t>Las preguntas con varias opciones (beneficios, obstáculos) pueden mapearse mediante recuento de selección o pesos predefinidos.</w:t>
      </w:r>
    </w:p>
    <w:p>
      <w:pPr>
        <w:pStyle w:val="ListBullet"/>
        <w:keepLines w:val="1"/>
        <w:widowControl w:val="1"/>
      </w:pPr>
      <w:r>
        <w:t>Las preguntas abiertas no forman parte del IGM numérico, pero enriquecen el análisis cualitativo.</w:t>
      </w:r>
    </w:p>
    <w:p>
      <w:pPr>
        <w:pStyle w:val="Heading3"/>
        <w:keepNext/>
        <w:keepLines/>
      </w:pPr>
      <w:r>
        <w:t>6.3. Cálculo por dimensión</w:t>
      </w:r>
    </w:p>
    <w:p>
      <w:pPr>
        <w:pStyle w:val="ListNumber"/>
        <w:keepLines w:val="1"/>
        <w:keepNext w:val="1"/>
        <w:widowControl w:val="1"/>
      </w:pPr>
      <w:r>
        <w:t>Para cada dimensión, seleccione las preguntas correspondientes.</w:t>
      </w:r>
    </w:p>
    <w:p>
      <w:pPr>
        <w:pStyle w:val="ListNumber"/>
        <w:keepLines w:val="1"/>
        <w:keepNext w:val="1"/>
        <w:widowControl w:val="1"/>
      </w:pPr>
      <w:r>
        <w:t>Transforme las respuestas en valores numéricos según la escala definida.</w:t>
      </w:r>
    </w:p>
    <w:p>
      <w:pPr>
        <w:pStyle w:val="ListNumber"/>
        <w:keepLines w:val="1"/>
        <w:keepNext w:val="1"/>
        <w:widowControl w:val="1"/>
      </w:pPr>
      <w:r>
        <w:t>Calcule la media de la dimensión y reescálela a un rango 0–100 (por ejemplo, puntuación_dimensión = (media_respuestas - 1) / (4 - 1) * 100).</w:t>
      </w:r>
    </w:p>
    <w:p>
      <w:pPr>
        <w:pStyle w:val="ListNumber"/>
        <w:keepLines w:val="1"/>
        <w:widowControl w:val="1"/>
      </w:pPr>
      <w:r>
        <w:t>Multiplique por el peso de la dimensión.</w:t>
      </w:r>
    </w:p>
    <w:p>
      <w:pPr>
        <w:pStyle w:val="Heading3"/>
        <w:keepNext/>
        <w:keepLines/>
      </w:pPr>
      <w:r>
        <w:t>6.4. Cálculo del IGM total</w:t>
      </w:r>
    </w:p>
    <w:p>
      <w:pPr>
        <w:pStyle w:val="ListBullet"/>
        <w:keepLines w:val="1"/>
        <w:keepNext w:val="1"/>
        <w:widowControl w:val="1"/>
      </w:pPr>
      <w:r>
        <w:t>El IGM total será la suma de las puntuaciones ponderadas de todas las dimensiones (rango 0–100).</w:t>
      </w:r>
    </w:p>
    <w:p>
      <w:pPr>
        <w:pStyle w:val="ListBullet"/>
        <w:keepLines w:val="1"/>
        <w:widowControl w:val="1"/>
      </w:pPr>
      <w:r>
        <w:t>Puede segmentarse por tipo de organización, sector, tamaño, etc., para análisis comparativos.</w:t>
      </w:r>
    </w:p>
    <w:p>
      <w:pPr>
        <w:pStyle w:val="Heading2"/>
        <w:keepNext/>
        <w:keepLines/>
      </w:pPr>
      <w:r>
        <w:rPr>
          <w:color w:val="0066CC"/>
        </w:rPr>
        <w:t>7. Cálculo de ROI y coste evitado (nivel conceptual)</w:t>
      </w:r>
    </w:p>
    <w:p>
      <w:r>
        <w:t>La plantilla de Excel (descrita en otro documento) permite calcular el ROI asociado a SASE combinando:</w:t>
      </w:r>
    </w:p>
    <w:p>
      <w:pPr>
        <w:pStyle w:val="ListBullet"/>
        <w:keepLines w:val="1"/>
        <w:keepNext w:val="1"/>
        <w:widowControl w:val="1"/>
      </w:pPr>
      <w:r>
        <w:t>Costes: licencias, proyectos, operación, formación, transición desde tecnología heredada, etc.</w:t>
      </w:r>
    </w:p>
    <w:p>
      <w:pPr>
        <w:pStyle w:val="ListBullet"/>
        <w:keepLines w:val="1"/>
        <w:keepNext w:val="1"/>
        <w:widowControl w:val="1"/>
      </w:pPr>
      <w:r>
        <w:t>Beneficios “duros”: reducción de licencias heredadas, ahorro en enlaces, consolidación de hardware, reducción de horas de operación.</w:t>
      </w:r>
    </w:p>
    <w:p>
      <w:pPr>
        <w:pStyle w:val="ListBullet"/>
        <w:keepLines w:val="1"/>
        <w:widowControl w:val="1"/>
      </w:pPr>
      <w:r>
        <w:t>Beneficios “blandos” pero cuantificables: reducción de incidentes, reducción del tiempo de inactividad, mejora de productividad, mejora de cumplimiento (multas evitadas, sanciones regulatorias mitigadas).</w:t>
      </w:r>
    </w:p>
    <w:p>
      <w:r>
        <w:t>La fórmula general de ROI es:</w:t>
      </w:r>
    </w:p>
    <w:p>
      <w:pPr>
        <w:pStyle w:val="ListBullet"/>
        <w:keepLines w:val="1"/>
        <w:widowControl w:val="1"/>
      </w:pPr>
      <w:r>
        <w:t>ROI (%) = ((Beneficios totales – Costes totales) / Costes totales) * 100.</w:t>
      </w:r>
    </w:p>
    <w:p>
      <w:r>
        <w:t>La guía metodológica recomienda vincular algunas respuestas de la encuesta (por ejemplo, consolidación de herramientas, reducción de incidentes, mejoras de QoE) con hipótesis de ahorro y coste evitado, para construir un modelo razonable y defendible ante la dirección.</w:t>
      </w:r>
    </w:p>
    <w:p>
      <w:pPr>
        <w:pStyle w:val="Heading2"/>
        <w:keepNext/>
        <w:keepLines/>
      </w:pPr>
      <w:r>
        <w:rPr>
          <w:color w:val="0066CC"/>
        </w:rPr>
        <w:t>8. Consideraciones de calidad de datos</w:t>
      </w:r>
    </w:p>
    <w:p>
      <w:pPr>
        <w:pStyle w:val="ListBullet"/>
        <w:keepLines w:val="1"/>
        <w:keepNext w:val="1"/>
        <w:widowControl w:val="1"/>
      </w:pPr>
      <w:r>
        <w:t>Fiabilidad interna: si se va a utilizar el IGM para comparativas serias, se recomienda pilotar la encuesta con un grupo reducido y revisar consistencia de respuestas.</w:t>
      </w:r>
    </w:p>
    <w:p>
      <w:pPr>
        <w:pStyle w:val="ListBullet"/>
        <w:keepLines w:val="1"/>
        <w:keepNext w:val="1"/>
        <w:widowControl w:val="1"/>
      </w:pPr>
      <w:r>
        <w:t>Validez de contenido: revisar periódicamente la encuesta para incorporar nuevas capacidades SASE (por ejemplo, WAAP, RBI, inspección TLS avanzada) y nuevos requisitos regulatorios.</w:t>
      </w:r>
    </w:p>
    <w:p>
      <w:pPr>
        <w:pStyle w:val="ListBullet"/>
        <w:keepLines w:val="1"/>
        <w:widowControl w:val="1"/>
      </w:pPr>
      <w:r>
        <w:t>Sesgo de respuesta: advertir a los participantes de que la encuesta no es un examen, sino un espejo; se busca un diagnóstico útil, no una medalla inmediata.</w:t>
      </w:r>
    </w:p>
    <w:p>
      <w:pPr>
        <w:pStyle w:val="Heading2"/>
        <w:keepNext/>
        <w:keepLines/>
      </w:pPr>
      <w:r>
        <w:rPr>
          <w:color w:val="0066CC"/>
        </w:rPr>
        <w:t>9. Uso de resultados y comunicación</w:t>
      </w:r>
    </w:p>
    <w:p>
      <w:pPr>
        <w:pStyle w:val="Heading3"/>
        <w:keepNext/>
        <w:keepLines/>
      </w:pPr>
      <w:r>
        <w:t>9.1. Para la organización encuestada</w:t>
      </w:r>
    </w:p>
    <w:p>
      <w:pPr>
        <w:pStyle w:val="ListBullet"/>
        <w:keepLines w:val="1"/>
        <w:keepNext w:val="1"/>
        <w:widowControl w:val="1"/>
      </w:pPr>
      <w:r>
        <w:t>Identificar áreas fuertes (por ejemplo, buena QoE, alta cobertura ZTNA) y áreas débiles (baja integración con SIEM, ausencia de métricas de ROI).</w:t>
      </w:r>
    </w:p>
    <w:p>
      <w:pPr>
        <w:pStyle w:val="ListBullet"/>
        <w:keepLines w:val="1"/>
        <w:keepNext w:val="1"/>
        <w:widowControl w:val="1"/>
      </w:pPr>
      <w:r>
        <w:t>Priorizar proyectos: migración de VPN a ZTNA, consolidación de plataformas, mejora de telemetría y paneles de QoE, etc.</w:t>
      </w:r>
    </w:p>
    <w:p>
      <w:pPr>
        <w:pStyle w:val="ListBullet"/>
        <w:keepLines w:val="1"/>
        <w:widowControl w:val="1"/>
      </w:pPr>
      <w:r>
        <w:t>Construir un relato de evolución (pasar de “táctico” a “estratégico” y “optimizado”).</w:t>
      </w:r>
    </w:p>
    <w:p>
      <w:pPr>
        <w:pStyle w:val="Heading3"/>
        <w:keepNext/>
        <w:keepLines/>
      </w:pPr>
      <w:r>
        <w:t>9.2. Para análisis sectorial o nacional</w:t>
      </w:r>
    </w:p>
    <w:p>
      <w:pPr>
        <w:pStyle w:val="ListBullet"/>
        <w:keepLines w:val="1"/>
        <w:keepNext w:val="1"/>
        <w:widowControl w:val="1"/>
      </w:pPr>
      <w:r>
        <w:t>Elaborar comparativas por sector (sanidad vs. educación vs. administración general, etc.).</w:t>
      </w:r>
    </w:p>
    <w:p>
      <w:pPr>
        <w:pStyle w:val="ListBullet"/>
        <w:keepLines w:val="1"/>
        <w:keepNext w:val="1"/>
        <w:widowControl w:val="1"/>
      </w:pPr>
      <w:r>
        <w:t>Identificar brechas de madurez entre tipos de organización (AAPP vs. empresas privadas, operadores críticos, etc.).</w:t>
      </w:r>
    </w:p>
    <w:p>
      <w:pPr>
        <w:pStyle w:val="ListBullet"/>
        <w:keepLines w:val="1"/>
        <w:widowControl w:val="1"/>
      </w:pPr>
      <w:r>
        <w:t>Informar políticas públicas, programas de apoyo y priorización de recursos (por ejemplo, ayuda a sectores con baja madurez SASE).</w:t>
      </w:r>
    </w:p>
    <w:p>
      <w:pPr>
        <w:pStyle w:val="Heading3"/>
        <w:keepNext/>
        <w:keepLines/>
      </w:pPr>
      <w:r>
        <w:t>9.3. Comunicación ejecutiva</w:t>
      </w:r>
    </w:p>
    <w:p>
      <w:pPr>
        <w:pStyle w:val="ListBullet"/>
        <w:keepLines w:val="1"/>
        <w:keepNext w:val="1"/>
        <w:widowControl w:val="1"/>
      </w:pPr>
      <w:r>
        <w:t>Traducir los resultados a gráficos sencillos (radar de madurez, barras comparativas, mapa de calor por dimensión).</w:t>
      </w:r>
    </w:p>
    <w:p>
      <w:pPr>
        <w:pStyle w:val="ListBullet"/>
        <w:keepLines w:val="1"/>
        <w:widowControl w:val="1"/>
      </w:pPr>
      <w:r>
        <w:t>Enfatizar el vínculo entre madurez SASE, reducción de riesgo, mejora de experiencia de usuario y continuidad de negocio.</w:t>
      </w:r>
    </w:p>
    <w:p>
      <w:pPr>
        <w:pStyle w:val="Heading2"/>
        <w:keepNext/>
        <w:keepLines/>
      </w:pPr>
      <w:r>
        <w:rPr>
          <w:color w:val="0066CC"/>
        </w:rPr>
        <w:t>10. Recomendaciones prácticas para la implantación de la encuesta</w:t>
      </w:r>
    </w:p>
    <w:p>
      <w:pPr>
        <w:pStyle w:val="ListNumber"/>
        <w:keepLines w:val="1"/>
        <w:keepNext w:val="1"/>
        <w:widowControl w:val="1"/>
      </w:pPr>
      <w:r>
        <w:t>Patrocinio claro: la encuesta debe estar respaldada por un responsable de alto nivel (CISO, CIO, Dir. de Riesgos) para que las respuestas se tomen en serio.</w:t>
      </w:r>
    </w:p>
    <w:p>
      <w:pPr>
        <w:pStyle w:val="ListNumber"/>
        <w:keepLines w:val="1"/>
        <w:keepNext w:val="1"/>
        <w:widowControl w:val="1"/>
      </w:pPr>
      <w:r>
        <w:t>Comunicación previa: explicar objetivos, confidencialidad y beneficios a los participantes.</w:t>
      </w:r>
    </w:p>
    <w:p>
      <w:pPr>
        <w:pStyle w:val="ListNumber"/>
        <w:keepLines w:val="1"/>
        <w:keepNext w:val="1"/>
        <w:widowControl w:val="1"/>
      </w:pPr>
      <w:r>
        <w:t>Simplicidad operativa: utilizar herramientas que faciliten exportación y análisis (no subestimar la logística).</w:t>
      </w:r>
    </w:p>
    <w:p>
      <w:pPr>
        <w:pStyle w:val="ListNumber"/>
        <w:keepLines w:val="1"/>
        <w:keepNext w:val="1"/>
        <w:widowControl w:val="1"/>
      </w:pPr>
      <w:r>
        <w:t>Devolver valor: ofrecer a los participantes un informe de resultados y recomendaciones; nadie disfruta rellenando encuestas “a cambio de nada”.</w:t>
      </w:r>
    </w:p>
    <w:p>
      <w:pPr>
        <w:pStyle w:val="ListNumber"/>
        <w:keepLines w:val="1"/>
        <w:widowControl w:val="1"/>
      </w:pPr>
      <w:r>
        <w:t>Iteración: aprender de la primera ronda y ajustar preguntas, escalas y ponderaciones.</w:t>
      </w:r>
    </w:p>
    <w:p>
      <w:pPr>
        <w:pStyle w:val="Heading2"/>
        <w:keepNext/>
        <w:keepLines/>
      </w:pPr>
      <w:r>
        <w:rPr>
          <w:color w:val="0066CC"/>
        </w:rPr>
        <w:t>11. Epílogo metodológico</w:t>
      </w:r>
    </w:p>
    <w:p>
      <w:r>
        <w:t>Esta guía no pretende ser un tratado estadístico, sino un manual de campo honesto para convertir una colección de preguntas SASE en un instrumento de diagnóstico y mejora continua. Si al usarla descubre contradicciones, zonas grises o nuevas necesidades, enhorabuena: significa que la realidad está viva. Ajústela, documente los cambios y, sobre todo, úsela para que la conversación sobre SASE y Zero Trust deje de ser un debate de fe tecnológica y se convierta en una discusión informada sobre riesgos, costes, beneficios y servicios que simplemente funcionan.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