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la Encuesta SASE</w:t>
      </w:r>
    </w:p>
    <w:p>
      <w:r>
        <w:t>Documento de acompañamiento para responsables y participantes, destinado a explicar el “por qué”, el “para qué” y el “qué hacemos luego” de la Encuesta Integral sobre Adopción, Madurez e Indicadores SASE.</w:t>
      </w:r>
    </w:p>
    <w:p>
      <w:pPr>
        <w:pStyle w:val="Heading2"/>
        <w:keepNext/>
        <w:keepLines/>
      </w:pPr>
      <w:r>
        <w:rPr>
          <w:color w:val="0066CC"/>
        </w:rPr>
        <w:t>1. ¿Por qué una encuesta sobre SASE ahora?</w:t>
      </w:r>
    </w:p>
    <w:p>
      <w:r>
        <w:t>En los últimos años, la conversación sobre ciberseguridad ha pasado de “dónde está el perímetro” a “cómo demonios gestionamos mil perímetros efímeros a la vez”. En ese tránsito, SASE ha dejado de ser una palabra de moda para convertirse en la forma pragmática de unir red y seguridad en un mundo de nube, SaaS y trabajo distribuido.</w:t>
      </w:r>
    </w:p>
    <w:p>
      <w:r>
        <w:t xml:space="preserve">La cuestión ya no es si la organización “tiene SASE”, sino </w:t>
      </w:r>
      <w:r>
        <w:rPr>
          <w:b/>
        </w:rPr>
        <w:t>qué está haciendo con ello</w:t>
      </w:r>
      <w:r>
        <w:t>, hasta qué punto se apoya en principios Zero Trust y, sobre todo, cómo se mide el resultado en términos de experiencia de usuario, cumplimiento y resiliencia. La encuesta nace para poner orden en ese caleidoscopio.</w:t>
      </w:r>
    </w:p>
    <w:p>
      <w:pPr>
        <w:pStyle w:val="Heading2"/>
        <w:keepNext/>
        <w:keepLines/>
      </w:pPr>
      <w:r>
        <w:rPr>
          <w:color w:val="0066CC"/>
        </w:rPr>
        <w:t>2. ¿Qué pretende medir realmente la encuesta?</w:t>
      </w:r>
    </w:p>
    <w:p>
      <w:r>
        <w:t>La encuesta no se limita a hacer un inventario de herramientas. Quiere ir un paso más allá y responder a preguntas como:</w:t>
      </w:r>
    </w:p>
    <w:p>
      <w:pPr>
        <w:pStyle w:val="ListBullet"/>
        <w:keepLines w:val="1"/>
        <w:keepNext w:val="1"/>
        <w:widowControl w:val="1"/>
      </w:pPr>
      <w:r>
        <w:t>¿Hasta qué punto el acceso remoto y a la nube se canaliza por una arquitectura coherente, en lugar de por “atajos” improvisados?</w:t>
      </w:r>
    </w:p>
    <w:p>
      <w:pPr>
        <w:pStyle w:val="ListBullet"/>
        <w:keepLines w:val="1"/>
        <w:keepNext w:val="1"/>
        <w:widowControl w:val="1"/>
      </w:pPr>
      <w:r>
        <w:t>¿Es la identidad el nuevo perímetro o solo lo decimos en las presentaciones?</w:t>
      </w:r>
    </w:p>
    <w:p>
      <w:pPr>
        <w:pStyle w:val="ListBullet"/>
        <w:keepLines w:val="1"/>
        <w:keepNext w:val="1"/>
        <w:widowControl w:val="1"/>
      </w:pPr>
      <w:r>
        <w:t>¿Medimos la experiencia de usuario (QoE) o seguimos juzgando la red por su ping y su traceroute?</w:t>
      </w:r>
    </w:p>
    <w:p>
      <w:pPr>
        <w:pStyle w:val="ListBullet"/>
        <w:keepLines w:val="1"/>
        <w:keepNext w:val="1"/>
        <w:widowControl w:val="1"/>
      </w:pPr>
      <w:r>
        <w:t>¿La telemetría SASE se integra en el SOC y en el mapa de riesgos, o se queda en un portal más con gráficos bonitos?</w:t>
      </w:r>
    </w:p>
    <w:p>
      <w:pPr>
        <w:pStyle w:val="ListBullet"/>
        <w:keepLines w:val="1"/>
        <w:widowControl w:val="1"/>
      </w:pPr>
      <w:r>
        <w:t>¿Se está utilizando SASE para dar cumplimiento efectivo a ENS, NIS2 y demás siglas respetables, o solo para calmar conciencias en los informes?</w:t>
      </w:r>
    </w:p>
    <w:p>
      <w:r>
        <w:t xml:space="preserve">En resumen, pretende ofrecer una </w:t>
      </w:r>
      <w:r>
        <w:rPr>
          <w:b/>
        </w:rPr>
        <w:t>radiografía honesta</w:t>
      </w:r>
      <w:r>
        <w:t xml:space="preserve"> de la madurez SASE/Zero Trust y de su impacto real en el negocio.</w:t>
      </w:r>
    </w:p>
    <w:p>
      <w:pPr>
        <w:pStyle w:val="Heading2"/>
        <w:keepNext/>
        <w:keepLines/>
      </w:pPr>
      <w:r>
        <w:rPr>
          <w:color w:val="0066CC"/>
        </w:rPr>
        <w:t>3. ¿A quién va dirigida?</w:t>
      </w:r>
    </w:p>
    <w:p>
      <w:r>
        <w:t>La encuesta se dirige principalmente a:</w:t>
      </w:r>
    </w:p>
    <w:p>
      <w:pPr>
        <w:pStyle w:val="ListBullet"/>
        <w:keepLines w:val="1"/>
        <w:keepNext w:val="1"/>
        <w:widowControl w:val="1"/>
      </w:pPr>
      <w:r>
        <w:t>Equipos de ciberseguridad y redes que toman decisiones sobre acceso remoto, cloud y seguridad de red.</w:t>
      </w:r>
    </w:p>
    <w:p>
      <w:pPr>
        <w:pStyle w:val="ListBullet"/>
        <w:keepLines w:val="1"/>
        <w:keepNext w:val="1"/>
        <w:widowControl w:val="1"/>
      </w:pPr>
      <w:r>
        <w:t>Responsables de riesgos, cumplimiento y auditoría que necesitan evidencias de control y madurez.</w:t>
      </w:r>
    </w:p>
    <w:p>
      <w:pPr>
        <w:pStyle w:val="ListBullet"/>
        <w:keepLines w:val="1"/>
        <w:widowControl w:val="1"/>
      </w:pPr>
      <w:r>
        <w:t>Equipos de continuidad de negocio y resiliencia que dependen de que las comunicaciones y la seguridad no fallen en el peor momento.</w:t>
      </w:r>
    </w:p>
    <w:p>
      <w:r>
        <w:t>No está pensada para “pillar” a nadie en falta, sino para dotar de un lenguaje común y un conjunto de indicadores compartidos entre perfiles que, a menudo, miran el mismo problema con gafas distintas.</w:t>
      </w:r>
    </w:p>
    <w:p>
      <w:pPr>
        <w:pStyle w:val="Heading2"/>
        <w:keepNext/>
        <w:keepLines/>
      </w:pPr>
      <w:r>
        <w:rPr>
          <w:color w:val="0066CC"/>
        </w:rPr>
        <w:t>4. ¿Cómo se debe leer el tono de las preguntas?</w:t>
      </w:r>
    </w:p>
    <w:p>
      <w:r>
        <w:t xml:space="preserve">Las preguntas están redactadas con un </w:t>
      </w:r>
      <w:r>
        <w:rPr>
          <w:b/>
        </w:rPr>
        <w:t>tono deliberadamente ameno e irónico</w:t>
      </w:r>
      <w:r>
        <w:t>, no por falta de seriedad, sino por exceso de respeto al tiempo de quienes responden. Se trata de:</w:t>
      </w:r>
    </w:p>
    <w:p>
      <w:pPr>
        <w:pStyle w:val="ListBullet"/>
        <w:keepLines w:val="1"/>
        <w:keepNext w:val="1"/>
        <w:widowControl w:val="1"/>
      </w:pPr>
      <w:r>
        <w:t>Huir del tecnicismo seco que nadie quiere leer después de un día de incidentes.</w:t>
      </w:r>
    </w:p>
    <w:p>
      <w:pPr>
        <w:pStyle w:val="ListBullet"/>
        <w:keepLines w:val="1"/>
        <w:keepNext w:val="1"/>
        <w:widowControl w:val="1"/>
      </w:pPr>
      <w:r>
        <w:t>Invitar a una auto‑reflexión honesta, que a veces se formula mejor desde una ligera ironía que desde un formulario rígido.</w:t>
      </w:r>
    </w:p>
    <w:p>
      <w:pPr>
        <w:pStyle w:val="ListBullet"/>
        <w:keepLines w:val="1"/>
        <w:widowControl w:val="1"/>
      </w:pPr>
      <w:r>
        <w:t>Recordar que la ciberseguridad, SASE incluido, va de personas y decisiones, no solo de protocolos y siglas.</w:t>
      </w:r>
    </w:p>
    <w:p>
      <w:r>
        <w:t>Si alguna pregunta arranca una sonrisa nerviosa, probablemente está bien formulada.</w:t>
      </w:r>
    </w:p>
    <w:p>
      <w:pPr>
        <w:pStyle w:val="Heading2"/>
        <w:keepNext/>
        <w:keepLines/>
      </w:pPr>
      <w:r>
        <w:rPr>
          <w:color w:val="0066CC"/>
        </w:rPr>
        <w:t>5. ¿Qué se hace con los resultados?</w:t>
      </w:r>
    </w:p>
    <w:p>
      <w:r>
        <w:t>Los resultados pueden (y deben) emplearse a varios niveles:</w:t>
      </w:r>
    </w:p>
    <w:p>
      <w:pPr>
        <w:pStyle w:val="ListBullet"/>
        <w:keepLines w:val="1"/>
        <w:keepNext w:val="1"/>
        <w:widowControl w:val="1"/>
      </w:pPr>
      <w:r>
        <w:t>Nivel interno de la organización: servir de diagnóstico, identificar áreas fuertes y débiles, priorizar iniciativas (por ejemplo, migrar de VPN a ZTNA, mejorar DEM, simplificar el zoo de herramientas).</w:t>
      </w:r>
    </w:p>
    <w:p>
      <w:pPr>
        <w:pStyle w:val="ListBullet"/>
        <w:keepLines w:val="1"/>
        <w:keepNext w:val="1"/>
        <w:widowControl w:val="1"/>
      </w:pPr>
      <w:r>
        <w:t>Nivel sectorial: comparar estados de madurez entre organizaciones del mismo sector (sanidad, educación, administración general, etc.), detectar patrones y necesidades comunes.</w:t>
      </w:r>
    </w:p>
    <w:p>
      <w:pPr>
        <w:pStyle w:val="ListBullet"/>
        <w:keepLines w:val="1"/>
        <w:widowControl w:val="1"/>
      </w:pPr>
      <w:r>
        <w:t>Nivel país: alimentar indicadores agregados de madurez SASE/Zero Trust, apoyar estrategias nacionales de ciberseguridad y orientar inversiones públicas.</w:t>
      </w:r>
    </w:p>
    <w:p>
      <w:r>
        <w:t>La narrativa que se construye a partir de la encuesta es tanto técnica como política: se habla del rendimiento de túneles y PoPs, pero también de confianza ciudadana y continuidad de servicios esenciales.</w:t>
      </w:r>
    </w:p>
    <w:p>
      <w:pPr>
        <w:pStyle w:val="Heading2"/>
        <w:keepNext/>
        <w:keepLines/>
      </w:pPr>
      <w:r>
        <w:rPr>
          <w:color w:val="0066CC"/>
        </w:rPr>
        <w:t>6. ¿Qué no pretende ser esta encuesta?</w:t>
      </w:r>
    </w:p>
    <w:p>
      <w:r>
        <w:t xml:space="preserve">Conviene aclarar también lo que </w:t>
      </w:r>
      <w:r>
        <w:rPr>
          <w:b/>
        </w:rPr>
        <w:t>no</w:t>
      </w:r>
      <w:r>
        <w:t xml:space="preserve"> es:</w:t>
      </w:r>
    </w:p>
    <w:p>
      <w:pPr>
        <w:pStyle w:val="ListBullet"/>
        <w:keepLines w:val="1"/>
        <w:keepNext w:val="1"/>
        <w:widowControl w:val="1"/>
      </w:pPr>
      <w:r>
        <w:t>No es un examen de certificación.</w:t>
      </w:r>
    </w:p>
    <w:p>
      <w:pPr>
        <w:pStyle w:val="ListBullet"/>
        <w:keepLines w:val="1"/>
        <w:keepNext w:val="1"/>
        <w:widowControl w:val="1"/>
      </w:pPr>
      <w:r>
        <w:t>No es un ranking para repartir medallas o señalar culpables.</w:t>
      </w:r>
    </w:p>
    <w:p>
      <w:pPr>
        <w:pStyle w:val="ListBullet"/>
        <w:keepLines w:val="1"/>
        <w:keepNext w:val="1"/>
        <w:widowControl w:val="1"/>
      </w:pPr>
      <w:r>
        <w:t>No es un checklist exhaustivo de ENS, NIS2 o ISO 27001 (aunque se inspira en ellos).</w:t>
      </w:r>
    </w:p>
    <w:p>
      <w:pPr>
        <w:pStyle w:val="ListBullet"/>
        <w:keepLines w:val="1"/>
        <w:widowControl w:val="1"/>
      </w:pPr>
      <w:r>
        <w:t>No es una herramienta de marketing encubierta de ningún fabricante ni proveedor.</w:t>
      </w:r>
    </w:p>
    <w:p>
      <w:r>
        <w:t xml:space="preserve">Es, sencillamente, un </w:t>
      </w:r>
      <w:r>
        <w:rPr>
          <w:b/>
        </w:rPr>
        <w:t>instrumento de conversación estructurada</w:t>
      </w:r>
      <w:r>
        <w:t xml:space="preserve"> sobre dónde estamos y hacia dónde queremos ir con SASE y Zero Trust.</w:t>
      </w:r>
    </w:p>
    <w:p>
      <w:pPr>
        <w:pStyle w:val="Heading2"/>
        <w:keepNext/>
        <w:keepLines/>
      </w:pPr>
      <w:r>
        <w:rPr>
          <w:color w:val="0066CC"/>
        </w:rPr>
        <w:t>7. ¿Qué podemos esperar al completar la encuesta?</w:t>
      </w:r>
    </w:p>
    <w:p>
      <w:r>
        <w:t>Idealmente, tras completar la encuesta, la organización debería disponer de:</w:t>
      </w:r>
    </w:p>
    <w:p>
      <w:pPr>
        <w:pStyle w:val="ListNumber"/>
        <w:keepLines w:val="1"/>
        <w:keepNext w:val="1"/>
        <w:widowControl w:val="1"/>
      </w:pPr>
      <w:r>
        <w:t>Una puntuación de IGM (Índice Global de Madurez) por dimensión: arquitectura, identidad, experiencia, seguridad, cumplimiento, continuidad, negocio.</w:t>
      </w:r>
    </w:p>
    <w:p>
      <w:pPr>
        <w:pStyle w:val="ListNumber"/>
        <w:keepLines w:val="1"/>
        <w:keepNext w:val="1"/>
        <w:widowControl w:val="1"/>
      </w:pPr>
      <w:r>
        <w:t>Una lista de áreas prioritarias de mejora, basada en las respuestas que han quedado claramente en niveles iniciales.</w:t>
      </w:r>
    </w:p>
    <w:p>
      <w:pPr>
        <w:pStyle w:val="ListNumber"/>
        <w:keepLines w:val="1"/>
        <w:keepNext w:val="1"/>
        <w:widowControl w:val="1"/>
      </w:pPr>
      <w:r>
        <w:t>Un punto de partida para construir o ajustar el roadmap SASE/Zero Trust, con hitos y métricas.</w:t>
      </w:r>
    </w:p>
    <w:p>
      <w:pPr>
        <w:pStyle w:val="ListNumber"/>
        <w:keepLines w:val="1"/>
        <w:widowControl w:val="1"/>
      </w:pPr>
      <w:r>
        <w:t>Una base para cuantificar el ROI y el coste evitado, apoyándose en consolidación de herramientas, reducción de incidentes y mejora de productividad.</w:t>
      </w:r>
    </w:p>
    <w:p>
      <w:r>
        <w:t>Si, además, la encuesta sirve de excusa para sentar en la misma mesa a redes, seguridad, riesgos y negocio, ya habrá cumplido una parte importante de su misión.</w:t>
      </w:r>
    </w:p>
    <w:p>
      <w:pPr>
        <w:pStyle w:val="Heading2"/>
        <w:keepNext/>
        <w:keepLines/>
      </w:pPr>
      <w:r>
        <w:rPr>
          <w:color w:val="0066CC"/>
        </w:rPr>
        <w:t>8. Recomendaciones para una lectura crítica</w:t>
      </w:r>
    </w:p>
    <w:p>
      <w:r>
        <w:t>Al interpretar los resultados, conviene:</w:t>
      </w:r>
    </w:p>
    <w:p>
      <w:pPr>
        <w:pStyle w:val="ListBullet"/>
        <w:keepLines w:val="1"/>
        <w:keepNext w:val="1"/>
        <w:widowControl w:val="1"/>
      </w:pPr>
      <w:r>
        <w:t>Ser consciente de los sesgos: tendemos a sobrevalorar lo que hemos impulsado personalmente y a subestimar lo que gestionan otros equipos.</w:t>
      </w:r>
    </w:p>
    <w:p>
      <w:pPr>
        <w:pStyle w:val="ListBullet"/>
        <w:keepLines w:val="1"/>
        <w:keepNext w:val="1"/>
        <w:widowControl w:val="1"/>
      </w:pPr>
      <w:r>
        <w:t>Contrastar las percepciones internas con datos objetivos (incidentes, tiempos de caída, quejas de usuarios, auditorías).</w:t>
      </w:r>
    </w:p>
    <w:p>
      <w:pPr>
        <w:pStyle w:val="ListBullet"/>
        <w:keepLines w:val="1"/>
        <w:widowControl w:val="1"/>
      </w:pPr>
      <w:r>
        <w:t>Revisar periódicamente la encuesta, porque SASE, las normativas y las prácticas de ataque evolucionan.</w:t>
      </w:r>
    </w:p>
    <w:p>
      <w:r>
        <w:t>La peor lectura posible de los resultados es usarlos para cerrar el debate; la mejor, utilizarlos para abrirlo de forma más informada y menos dogmática.</w:t>
      </w:r>
    </w:p>
    <w:p>
      <w:pPr>
        <w:pStyle w:val="Heading2"/>
        <w:keepNext/>
        <w:keepLines/>
      </w:pPr>
      <w:r>
        <w:rPr>
          <w:color w:val="0066CC"/>
        </w:rPr>
        <w:t>9. Epílogo: SASE como excusa legítima</w:t>
      </w:r>
    </w:p>
    <w:p>
      <w:r>
        <w:t>SASE es, en el fondo, una excusa estupenda para abordar conversaciones que llevaban años pendientes: sobre identidad, segmentación, deuda técnica, dependencia de proveedores, experiencia de usuario y resiliencia. La encuesta que acompaña a esta narrativa no promete verdades absolutas, pero sí un espejo suficientemente nítido como para que cada organización se reconozca a sí misma, con sus luces, sombras y zonas en obras.</w:t>
      </w:r>
    </w:p>
    <w:p>
      <w:r>
        <w:t>Que el resultado sea un índice, un informe, una presentación o un plan de acción es casi secundario; lo importante es que, después de responder, nadie pueda seguir diciendo que “la red va bien porque el ping es bajo” sin que le tiemble un poco la voz.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