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SASE (estructura para presentación)</w:t>
      </w:r>
    </w:p>
    <w:p>
      <w:r>
        <w:t>Descripción en Markdown de una plantilla de presentación ejecutiva (tipo PowerPoint) para comunicar resultados de la Encuesta SASE, el IGM y el ROI asociado.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"Estado de Madurez SASE y Zero Trust en [Nombre de la Organización / Sector]".</w:t>
      </w:r>
    </w:p>
    <w:p>
      <w:pPr>
        <w:pStyle w:val="ListBullet"/>
        <w:keepLines w:val="1"/>
        <w:keepNext w:val="1"/>
        <w:widowControl w:val="1"/>
      </w:pPr>
      <w:r>
        <w:t>Subtítulo: "Resultados de la Encuesta Integral y del Índice Global de Madurez (IGM)".</w:t>
      </w:r>
    </w:p>
    <w:p>
      <w:pPr>
        <w:pStyle w:val="ListBullet"/>
        <w:keepLines w:val="1"/>
        <w:widowControl w:val="1"/>
      </w:pPr>
      <w:r>
        <w:t>Elementos adicionales: logotipos, fecha, nombre del ponente.</w:t>
      </w:r>
    </w:p>
    <w:p>
      <w:pPr>
        <w:pStyle w:val="Heading2"/>
        <w:keepNext/>
        <w:keepLines/>
      </w:pPr>
      <w:r>
        <w:rPr>
          <w:color w:val="0066CC"/>
        </w:rPr>
        <w:t>Diapositiva 2 – Agenda</w:t>
      </w:r>
    </w:p>
    <w:p>
      <w:pPr>
        <w:pStyle w:val="ListBullet"/>
        <w:keepLines w:val="1"/>
        <w:keepNext w:val="1"/>
        <w:widowControl w:val="1"/>
      </w:pPr>
      <w:r>
        <w:t>Contexto y objetivos.</w:t>
      </w:r>
    </w:p>
    <w:p>
      <w:pPr>
        <w:pStyle w:val="ListBullet"/>
        <w:keepLines w:val="1"/>
        <w:keepNext w:val="1"/>
        <w:widowControl w:val="1"/>
      </w:pPr>
      <w:r>
        <w:t>Metodología de la encuesta.</w:t>
      </w:r>
    </w:p>
    <w:p>
      <w:pPr>
        <w:pStyle w:val="ListBullet"/>
        <w:keepLines w:val="1"/>
        <w:keepNext w:val="1"/>
        <w:widowControl w:val="1"/>
      </w:pPr>
      <w:r>
        <w:t>Resultados clave del IGM.</w:t>
      </w:r>
    </w:p>
    <w:p>
      <w:pPr>
        <w:pStyle w:val="ListBullet"/>
        <w:keepLines w:val="1"/>
        <w:keepNext w:val="1"/>
        <w:widowControl w:val="1"/>
      </w:pPr>
      <w:r>
        <w:t>Hallazgos destacados por dimensión.</w:t>
      </w:r>
    </w:p>
    <w:p>
      <w:pPr>
        <w:pStyle w:val="ListBullet"/>
        <w:keepLines w:val="1"/>
        <w:keepNext w:val="1"/>
        <w:widowControl w:val="1"/>
      </w:pPr>
      <w:r>
        <w:t>Síntesis de ROI y beneficios.</w:t>
      </w:r>
    </w:p>
    <w:p>
      <w:pPr>
        <w:pStyle w:val="ListBullet"/>
        <w:keepLines w:val="1"/>
        <w:keepNext w:val="1"/>
        <w:widowControl w:val="1"/>
      </w:pPr>
      <w:r>
        <w:t>Riesgos y brechas identificadas.</w:t>
      </w:r>
    </w:p>
    <w:p>
      <w:pPr>
        <w:pStyle w:val="ListBullet"/>
        <w:keepLines w:val="1"/>
        <w:widowControl w:val="1"/>
      </w:pPr>
      <w:r>
        <w:t>Recomendaciones y próximos pasos.</w:t>
      </w:r>
    </w:p>
    <w:p>
      <w:pPr>
        <w:pStyle w:val="Heading2"/>
        <w:keepNext/>
        <w:keepLines/>
      </w:pPr>
      <w:r>
        <w:rPr>
          <w:color w:val="0066CC"/>
        </w:rPr>
        <w:t>Diapositiva 3 – Contexto y objetivos</w:t>
      </w:r>
    </w:p>
    <w:p>
      <w:pPr>
        <w:pStyle w:val="ListBullet"/>
        <w:keepLines w:val="1"/>
        <w:keepNext w:val="1"/>
        <w:widowControl w:val="1"/>
      </w:pPr>
      <w:r>
        <w:t>Breve descripción del porqué de la evaluación (nube, trabajo híbrido, ENS, NIS2, etc.).</w:t>
      </w:r>
    </w:p>
    <w:p>
      <w:pPr>
        <w:pStyle w:val="ListBullet"/>
        <w:keepLines w:val="1"/>
        <w:keepNext w:val="1"/>
        <w:widowControl w:val="1"/>
      </w:pPr>
      <w:r>
        <w:t>Objetivos:</w:t>
      </w:r>
    </w:p>
    <w:p>
      <w:pPr>
        <w:pStyle w:val="ListBullet"/>
        <w:keepLines w:val="1"/>
        <w:keepNext w:val="1"/>
        <w:widowControl w:val="1"/>
      </w:pPr>
      <w:r>
        <w:t>Medir madurez SASE/Zero Trust.</w:t>
      </w:r>
    </w:p>
    <w:p>
      <w:pPr>
        <w:pStyle w:val="ListBullet"/>
        <w:keepLines w:val="1"/>
        <w:keepNext w:val="1"/>
        <w:widowControl w:val="1"/>
      </w:pPr>
      <w:r>
        <w:t>Evaluar experiencia de usuario y resiliencia.</w:t>
      </w:r>
    </w:p>
    <w:p>
      <w:pPr>
        <w:pStyle w:val="ListBullet"/>
        <w:keepLines w:val="1"/>
        <w:widowControl w:val="1"/>
      </w:pPr>
      <w:r>
        <w:t>Vincular resultados técnicos con valor de negocio.</w:t>
      </w:r>
    </w:p>
    <w:p>
      <w:pPr>
        <w:pStyle w:val="Heading2"/>
        <w:keepNext/>
        <w:keepLines/>
      </w:pPr>
      <w:r>
        <w:rPr>
          <w:color w:val="0066CC"/>
        </w:rPr>
        <w:t>Diapositiva 4 – Metodología de la encuesta</w:t>
      </w:r>
    </w:p>
    <w:p>
      <w:pPr>
        <w:pStyle w:val="ListBullet"/>
        <w:keepLines w:val="1"/>
        <w:keepNext w:val="1"/>
        <w:widowControl w:val="1"/>
      </w:pPr>
      <w:r>
        <w:t>Población objetivo (número de organizaciones, sectores, tamaños).</w:t>
      </w:r>
    </w:p>
    <w:p>
      <w:pPr>
        <w:pStyle w:val="ListBullet"/>
        <w:keepLines w:val="1"/>
        <w:keepNext w:val="1"/>
        <w:widowControl w:val="1"/>
      </w:pPr>
      <w:r>
        <w:t>Rol de los encuestados (CISO, redes, riesgos, etc.).</w:t>
      </w:r>
    </w:p>
    <w:p>
      <w:pPr>
        <w:pStyle w:val="ListBullet"/>
        <w:keepLines w:val="1"/>
        <w:keepNext w:val="1"/>
        <w:widowControl w:val="1"/>
      </w:pPr>
      <w:r>
        <w:t>Estructura de la encuesta (bloques A–H y preguntas abiertas).</w:t>
      </w:r>
    </w:p>
    <w:p>
      <w:pPr>
        <w:pStyle w:val="ListBullet"/>
        <w:keepLines w:val="1"/>
        <w:widowControl w:val="1"/>
      </w:pPr>
      <w:r>
        <w:t>Breve nota sobre el cálculo del IGM y del ROI.</w:t>
      </w:r>
    </w:p>
    <w:p>
      <w:pPr>
        <w:pStyle w:val="Heading2"/>
        <w:keepNext/>
        <w:keepLines/>
      </w:pPr>
      <w:r>
        <w:rPr>
          <w:color w:val="0066CC"/>
        </w:rPr>
        <w:t>Diapositiva 5 – Resumen del IGM (visión global)</w:t>
      </w:r>
    </w:p>
    <w:p>
      <w:pPr>
        <w:pStyle w:val="ListBullet"/>
        <w:keepLines w:val="1"/>
        <w:keepNext w:val="1"/>
        <w:widowControl w:val="1"/>
      </w:pPr>
      <w:r>
        <w:t>Gráfico recomendado: radar o barra horizontal con las dimensiones:</w:t>
      </w:r>
    </w:p>
    <w:p>
      <w:pPr>
        <w:pStyle w:val="ListBullet"/>
        <w:keepLines w:val="1"/>
        <w:keepNext w:val="1"/>
        <w:widowControl w:val="1"/>
      </w:pPr>
      <w:r>
        <w:t>Arquitectura SASE/SSE.</w:t>
      </w:r>
    </w:p>
    <w:p>
      <w:pPr>
        <w:pStyle w:val="ListBullet"/>
        <w:keepLines w:val="1"/>
        <w:keepNext w:val="1"/>
        <w:widowControl w:val="1"/>
      </w:pPr>
      <w:r>
        <w:t>Identidad y Zero Trust.</w:t>
      </w:r>
    </w:p>
    <w:p>
      <w:pPr>
        <w:pStyle w:val="ListBullet"/>
        <w:keepLines w:val="1"/>
        <w:keepNext w:val="1"/>
        <w:widowControl w:val="1"/>
      </w:pPr>
      <w:r>
        <w:t>Rendimiento y experiencia.</w:t>
      </w:r>
    </w:p>
    <w:p>
      <w:pPr>
        <w:pStyle w:val="ListBullet"/>
        <w:keepLines w:val="1"/>
        <w:keepNext w:val="1"/>
        <w:widowControl w:val="1"/>
      </w:pPr>
      <w:r>
        <w:t>Seguridad, detección y respuesta.</w:t>
      </w:r>
    </w:p>
    <w:p>
      <w:pPr>
        <w:pStyle w:val="ListBullet"/>
        <w:keepLines w:val="1"/>
        <w:keepNext w:val="1"/>
        <w:widowControl w:val="1"/>
      </w:pPr>
      <w:r>
        <w:t>Cumplimiento ENS/NIS2 y gobernanza.</w:t>
      </w:r>
    </w:p>
    <w:p>
      <w:pPr>
        <w:pStyle w:val="ListBullet"/>
        <w:keepLines w:val="1"/>
        <w:keepNext w:val="1"/>
        <w:widowControl w:val="1"/>
      </w:pPr>
      <w:r>
        <w:t>Continuidad de negocio y resiliencia.</w:t>
      </w:r>
    </w:p>
    <w:p>
      <w:pPr>
        <w:pStyle w:val="ListBullet"/>
        <w:keepLines w:val="1"/>
        <w:keepNext w:val="1"/>
        <w:widowControl w:val="1"/>
      </w:pPr>
      <w:r>
        <w:t>Indicadores de negocio y ROI.</w:t>
      </w:r>
    </w:p>
    <w:p>
      <w:pPr>
        <w:pStyle w:val="ListBullet"/>
        <w:keepLines w:val="1"/>
        <w:widowControl w:val="1"/>
      </w:pPr>
      <w:r>
        <w:t>Mensaje clave: dónde se sitúa la organización (o el sector) en una escala 0–100.</w:t>
      </w:r>
    </w:p>
    <w:p>
      <w:pPr>
        <w:pStyle w:val="Heading2"/>
        <w:keepNext/>
        <w:keepLines/>
      </w:pPr>
      <w:r>
        <w:rPr>
          <w:color w:val="0066CC"/>
        </w:rPr>
        <w:t>Diapositiva 6 – Arquitectura SASE/SSE</w:t>
      </w:r>
    </w:p>
    <w:p>
      <w:pPr>
        <w:pStyle w:val="ListBullet"/>
        <w:keepLines w:val="1"/>
        <w:keepNext w:val="1"/>
        <w:widowControl w:val="1"/>
      </w:pPr>
      <w:r>
        <w:t>KPIs mostrados:</w:t>
      </w:r>
    </w:p>
    <w:p>
      <w:pPr>
        <w:pStyle w:val="ListBullet"/>
        <w:keepLines w:val="1"/>
        <w:keepNext w:val="1"/>
        <w:widowControl w:val="1"/>
      </w:pPr>
      <w:r>
        <w:t>Porcentaje de tráfico cloud canalizado por SASE/SSE.</w:t>
      </w:r>
    </w:p>
    <w:p>
      <w:pPr>
        <w:pStyle w:val="ListBullet"/>
        <w:keepLines w:val="1"/>
        <w:keepNext w:val="1"/>
        <w:widowControl w:val="1"/>
      </w:pPr>
      <w:r>
        <w:t>Cobertura SD‑WAN/SASE en sedes.</w:t>
      </w:r>
    </w:p>
    <w:p>
      <w:pPr>
        <w:pStyle w:val="ListBullet"/>
        <w:keepLines w:val="1"/>
        <w:keepNext w:val="1"/>
        <w:widowControl w:val="1"/>
      </w:pPr>
      <w:r>
        <w:t>Uso de plataforma única vs. múltiples soluciones.</w:t>
      </w:r>
    </w:p>
    <w:p>
      <w:pPr>
        <w:pStyle w:val="ListBullet"/>
        <w:keepLines w:val="1"/>
        <w:keepNext w:val="1"/>
        <w:widowControl w:val="1"/>
      </w:pPr>
      <w:r>
        <w:t>Mensaje narrativo:</w:t>
      </w:r>
    </w:p>
    <w:p>
      <w:pPr>
        <w:pStyle w:val="ListBullet"/>
        <w:keepLines w:val="1"/>
        <w:keepNext w:val="1"/>
        <w:widowControl w:val="1"/>
      </w:pPr>
      <w:r>
        <w:t>¿Estamos en fase exploratoria, táctica, estratégica u optimizada?</w:t>
      </w:r>
    </w:p>
    <w:p>
      <w:pPr>
        <w:pStyle w:val="ListBullet"/>
        <w:keepLines w:val="1"/>
        <w:widowControl w:val="1"/>
      </w:pPr>
      <w:r>
        <w:t>Principales retos técnicos (migración desde VPN, legado, etc.).</w:t>
      </w:r>
    </w:p>
    <w:p>
      <w:pPr>
        <w:pStyle w:val="Heading2"/>
        <w:keepNext/>
        <w:keepLines/>
      </w:pPr>
      <w:r>
        <w:rPr>
          <w:color w:val="0066CC"/>
        </w:rPr>
        <w:t>Diapositiva 7 – Identidad y Zero Trust</w:t>
      </w:r>
    </w:p>
    <w:p>
      <w:pPr>
        <w:pStyle w:val="ListBullet"/>
        <w:keepLines w:val="1"/>
        <w:keepNext w:val="1"/>
        <w:widowControl w:val="1"/>
      </w:pPr>
      <w:r>
        <w:t>KPIs mostrados:</w:t>
      </w:r>
    </w:p>
    <w:p>
      <w:pPr>
        <w:pStyle w:val="ListBullet"/>
        <w:keepLines w:val="1"/>
        <w:keepNext w:val="1"/>
        <w:widowControl w:val="1"/>
      </w:pPr>
      <w:r>
        <w:t>Cobertura MFA.</w:t>
      </w:r>
    </w:p>
    <w:p>
      <w:pPr>
        <w:pStyle w:val="ListBullet"/>
        <w:keepLines w:val="1"/>
        <w:keepNext w:val="1"/>
        <w:widowControl w:val="1"/>
      </w:pPr>
      <w:r>
        <w:t>Uso de políticas contextuales.</w:t>
      </w:r>
    </w:p>
    <w:p>
      <w:pPr>
        <w:pStyle w:val="ListBullet"/>
        <w:keepLines w:val="1"/>
        <w:keepNext w:val="1"/>
        <w:widowControl w:val="1"/>
      </w:pPr>
      <w:r>
        <w:t>Cobertura ZTNA sobre aplicaciones internas.</w:t>
      </w:r>
    </w:p>
    <w:p>
      <w:pPr>
        <w:pStyle w:val="ListBullet"/>
        <w:keepLines w:val="1"/>
        <w:keepNext w:val="1"/>
        <w:widowControl w:val="1"/>
      </w:pPr>
      <w:r>
        <w:t>Existencia de roadmap Zero Trust.</w:t>
      </w:r>
    </w:p>
    <w:p>
      <w:pPr>
        <w:pStyle w:val="ListBullet"/>
        <w:keepLines w:val="1"/>
        <w:keepNext w:val="1"/>
        <w:widowControl w:val="1"/>
      </w:pPr>
      <w:r>
        <w:t>Mensaje narrativo:</w:t>
      </w:r>
    </w:p>
    <w:p>
      <w:pPr>
        <w:pStyle w:val="ListBullet"/>
        <w:keepLines w:val="1"/>
        <w:widowControl w:val="1"/>
      </w:pPr>
      <w:r>
        <w:t>¿La identidad manda de verdad o solo en los diagramas?</w:t>
      </w:r>
    </w:p>
    <w:p>
      <w:pPr>
        <w:pStyle w:val="Heading2"/>
        <w:keepNext/>
        <w:keepLines/>
      </w:pPr>
      <w:r>
        <w:rPr>
          <w:color w:val="0066CC"/>
        </w:rPr>
        <w:t>Diapositiva 8 – Rendimiento y experiencia (QoE)</w:t>
      </w:r>
    </w:p>
    <w:p>
      <w:pPr>
        <w:pStyle w:val="ListBullet"/>
        <w:keepLines w:val="1"/>
        <w:keepNext w:val="1"/>
        <w:widowControl w:val="1"/>
      </w:pPr>
      <w:r>
        <w:t>KPIs mostrados:</w:t>
      </w:r>
    </w:p>
    <w:p>
      <w:pPr>
        <w:pStyle w:val="ListBullet"/>
        <w:keepLines w:val="1"/>
        <w:keepNext w:val="1"/>
        <w:widowControl w:val="1"/>
      </w:pPr>
      <w:r>
        <w:t>Nivel de medición de latencia y QoE.</w:t>
      </w:r>
    </w:p>
    <w:p>
      <w:pPr>
        <w:pStyle w:val="ListBullet"/>
        <w:keepLines w:val="1"/>
        <w:keepNext w:val="1"/>
        <w:widowControl w:val="1"/>
      </w:pPr>
      <w:r>
        <w:t>Existencia de SLOs de experiencia.</w:t>
      </w:r>
    </w:p>
    <w:p>
      <w:pPr>
        <w:pStyle w:val="ListBullet"/>
        <w:keepLines w:val="1"/>
        <w:keepNext w:val="1"/>
        <w:widowControl w:val="1"/>
      </w:pPr>
      <w:r>
        <w:t>Percepción de usuarios sobre el impacto de SASE.</w:t>
      </w:r>
    </w:p>
    <w:p>
      <w:pPr>
        <w:pStyle w:val="ListBullet"/>
        <w:keepLines w:val="1"/>
        <w:keepNext w:val="1"/>
        <w:widowControl w:val="1"/>
      </w:pPr>
      <w:r>
        <w:t>Gráfico recomendado:</w:t>
      </w:r>
    </w:p>
    <w:p>
      <w:pPr>
        <w:pStyle w:val="ListBullet"/>
        <w:keepLines w:val="1"/>
        <w:widowControl w:val="1"/>
      </w:pPr>
      <w:r>
        <w:t>Barras comparando organizaciones o segmentos (por ejemplo, porcentaje con SLOs definidos).</w:t>
      </w:r>
    </w:p>
    <w:p>
      <w:pPr>
        <w:pStyle w:val="Heading2"/>
        <w:keepNext/>
        <w:keepLines/>
      </w:pPr>
      <w:r>
        <w:rPr>
          <w:color w:val="0066CC"/>
        </w:rPr>
        <w:t>Diapositiva 9 – Seguridad, detección y respuesta</w:t>
      </w:r>
    </w:p>
    <w:p>
      <w:pPr>
        <w:pStyle w:val="ListBullet"/>
        <w:keepLines w:val="1"/>
        <w:keepNext w:val="1"/>
        <w:widowControl w:val="1"/>
      </w:pPr>
      <w:r>
        <w:t>KPIs mostrados:</w:t>
      </w:r>
    </w:p>
    <w:p>
      <w:pPr>
        <w:pStyle w:val="ListBullet"/>
        <w:keepLines w:val="1"/>
        <w:keepNext w:val="1"/>
        <w:widowControl w:val="1"/>
      </w:pPr>
      <w:r>
        <w:t>Integración de telemetría SASE con SIEM/SOC.</w:t>
      </w:r>
    </w:p>
    <w:p>
      <w:pPr>
        <w:pStyle w:val="ListBullet"/>
        <w:keepLines w:val="1"/>
        <w:keepNext w:val="1"/>
        <w:widowControl w:val="1"/>
      </w:pPr>
      <w:r>
        <w:t>Medición de MTTD/MTTR/MTTC específicos.</w:t>
      </w:r>
    </w:p>
    <w:p>
      <w:pPr>
        <w:pStyle w:val="ListBullet"/>
        <w:keepLines w:val="1"/>
        <w:keepNext w:val="1"/>
        <w:widowControl w:val="1"/>
      </w:pPr>
      <w:r>
        <w:t>Métricas de amenazas bloqueadas y gestión de falsos positivos.</w:t>
      </w:r>
    </w:p>
    <w:p>
      <w:pPr>
        <w:pStyle w:val="ListBullet"/>
        <w:keepLines w:val="1"/>
        <w:keepNext w:val="1"/>
        <w:widowControl w:val="1"/>
      </w:pPr>
      <w:r>
        <w:t>Mensaje narrativo:</w:t>
      </w:r>
    </w:p>
    <w:p>
      <w:pPr>
        <w:pStyle w:val="ListBullet"/>
        <w:keepLines w:val="1"/>
        <w:widowControl w:val="1"/>
      </w:pPr>
      <w:r>
        <w:t>¿SASE es una fuente principal de inteligencia o solo otro portal más?</w:t>
      </w:r>
    </w:p>
    <w:p>
      <w:pPr>
        <w:pStyle w:val="Heading2"/>
        <w:keepNext/>
        <w:keepLines/>
      </w:pPr>
      <w:r>
        <w:rPr>
          <w:color w:val="0066CC"/>
        </w:rPr>
        <w:t>Diapositiva 10 – Cumplimiento ENS/NIS2 y gobernanza</w:t>
      </w:r>
    </w:p>
    <w:p>
      <w:pPr>
        <w:pStyle w:val="ListBullet"/>
        <w:keepLines w:val="1"/>
        <w:keepNext w:val="1"/>
        <w:widowControl w:val="1"/>
      </w:pPr>
      <w:r>
        <w:t>KPIs mostrados:</w:t>
      </w:r>
    </w:p>
    <w:p>
      <w:pPr>
        <w:pStyle w:val="ListBullet"/>
        <w:keepLines w:val="1"/>
        <w:keepNext w:val="1"/>
        <w:widowControl w:val="1"/>
      </w:pPr>
      <w:r>
        <w:t>Uso de SASE para implantar medidas ENS en cloud.</w:t>
      </w:r>
    </w:p>
    <w:p>
      <w:pPr>
        <w:pStyle w:val="ListBullet"/>
        <w:keepLines w:val="1"/>
        <w:keepNext w:val="1"/>
        <w:widowControl w:val="1"/>
      </w:pPr>
      <w:r>
        <w:t>Existencia de mapeo formal SASE–ENS/NIS2.</w:t>
      </w:r>
    </w:p>
    <w:p>
      <w:pPr>
        <w:pStyle w:val="ListBullet"/>
        <w:keepLines w:val="1"/>
        <w:keepNext w:val="1"/>
        <w:widowControl w:val="1"/>
      </w:pPr>
      <w:r>
        <w:t>Nivel de gestión de terceros y auditorías de eficacia.</w:t>
      </w:r>
    </w:p>
    <w:p>
      <w:pPr>
        <w:pStyle w:val="ListBullet"/>
        <w:keepLines w:val="1"/>
        <w:keepNext w:val="1"/>
        <w:widowControl w:val="1"/>
      </w:pPr>
      <w:r>
        <w:t>Mensaje narrativo:</w:t>
      </w:r>
    </w:p>
    <w:p>
      <w:pPr>
        <w:pStyle w:val="ListBullet"/>
        <w:keepLines w:val="1"/>
        <w:widowControl w:val="1"/>
      </w:pPr>
      <w:r>
        <w:t>Del cumplimiento por checklist a la evidencia basada en telemetría.</w:t>
      </w:r>
    </w:p>
    <w:p>
      <w:pPr>
        <w:pStyle w:val="Heading2"/>
        <w:keepNext/>
        <w:keepLines/>
      </w:pPr>
      <w:r>
        <w:rPr>
          <w:color w:val="0066CC"/>
        </w:rPr>
        <w:t>Diapositiva 11 – Continuidad de negocio y resiliencia</w:t>
      </w:r>
    </w:p>
    <w:p>
      <w:pPr>
        <w:pStyle w:val="ListBullet"/>
        <w:keepLines w:val="1"/>
        <w:keepNext w:val="1"/>
        <w:widowControl w:val="1"/>
      </w:pPr>
      <w:r>
        <w:t>KPIs mostrados:</w:t>
      </w:r>
    </w:p>
    <w:p>
      <w:pPr>
        <w:pStyle w:val="ListBullet"/>
        <w:keepLines w:val="1"/>
        <w:keepNext w:val="1"/>
        <w:widowControl w:val="1"/>
      </w:pPr>
      <w:r>
        <w:t>Inclusión de SASE en planes de continuidad.</w:t>
      </w:r>
    </w:p>
    <w:p>
      <w:pPr>
        <w:pStyle w:val="ListBullet"/>
        <w:keepLines w:val="1"/>
        <w:keepNext w:val="1"/>
        <w:widowControl w:val="1"/>
      </w:pPr>
      <w:r>
        <w:t>Nivel de redundancia y diseño HA.</w:t>
      </w:r>
    </w:p>
    <w:p>
      <w:pPr>
        <w:pStyle w:val="ListBullet"/>
        <w:keepLines w:val="1"/>
        <w:keepNext w:val="1"/>
        <w:widowControl w:val="1"/>
      </w:pPr>
      <w:r>
        <w:t>Modelización del riesgo específico de SASE.</w:t>
      </w:r>
    </w:p>
    <w:p>
      <w:pPr>
        <w:pStyle w:val="ListBullet"/>
        <w:keepLines w:val="1"/>
        <w:keepNext w:val="1"/>
        <w:widowControl w:val="1"/>
      </w:pPr>
      <w:r>
        <w:t>Mensaje narrativo:</w:t>
      </w:r>
    </w:p>
    <w:p>
      <w:pPr>
        <w:pStyle w:val="ListBullet"/>
        <w:keepLines w:val="1"/>
        <w:widowControl w:val="1"/>
      </w:pPr>
      <w:r>
        <w:t>¿SASE está preparado para fallar con estilo (y recuperarse a tiempo)?</w:t>
      </w:r>
    </w:p>
    <w:p>
      <w:pPr>
        <w:pStyle w:val="Heading2"/>
        <w:keepNext/>
        <w:keepLines/>
      </w:pPr>
      <w:r>
        <w:rPr>
          <w:color w:val="0066CC"/>
        </w:rPr>
        <w:t>Diapositiva 12 – Indicadores de negocio, IGM y ROI</w:t>
      </w:r>
    </w:p>
    <w:p>
      <w:pPr>
        <w:pStyle w:val="ListBullet"/>
        <w:keepLines w:val="1"/>
        <w:keepNext w:val="1"/>
        <w:widowControl w:val="1"/>
      </w:pPr>
      <w:r>
        <w:t>Mostrar:</w:t>
      </w:r>
    </w:p>
    <w:p>
      <w:pPr>
        <w:pStyle w:val="ListBullet"/>
        <w:keepLines w:val="1"/>
        <w:keepNext w:val="1"/>
        <w:widowControl w:val="1"/>
      </w:pPr>
      <w:r>
        <w:t>IGM total y clasificación en rangos (incipiente, intermedio, avanzado, optimizado).</w:t>
      </w:r>
    </w:p>
    <w:p>
      <w:pPr>
        <w:pStyle w:val="ListBullet"/>
        <w:keepLines w:val="1"/>
        <w:keepNext w:val="1"/>
        <w:widowControl w:val="1"/>
      </w:pPr>
      <w:r>
        <w:t>Resultados de ROI (si se han calculado): costes totales vs. beneficios totales, ROI%, payback estimado.</w:t>
      </w:r>
    </w:p>
    <w:p>
      <w:pPr>
        <w:pStyle w:val="ListBullet"/>
        <w:keepLines w:val="1"/>
        <w:keepNext w:val="1"/>
        <w:widowControl w:val="1"/>
      </w:pPr>
      <w:r>
        <w:t>Gráficos recomendados:</w:t>
      </w:r>
    </w:p>
    <w:p>
      <w:pPr>
        <w:pStyle w:val="ListBullet"/>
        <w:keepLines w:val="1"/>
        <w:keepNext w:val="1"/>
        <w:widowControl w:val="1"/>
      </w:pPr>
      <w:r>
        <w:t>Barras comparando costes y beneficios.</w:t>
      </w:r>
    </w:p>
    <w:p>
      <w:pPr>
        <w:pStyle w:val="ListBullet"/>
        <w:keepLines w:val="1"/>
        <w:widowControl w:val="1"/>
      </w:pPr>
      <w:r>
        <w:t>Dispersión IGM vs. ROI (si hay varias organizaciones).</w:t>
      </w:r>
    </w:p>
    <w:p>
      <w:pPr>
        <w:pStyle w:val="Heading2"/>
        <w:keepNext/>
        <w:keepLines/>
      </w:pPr>
      <w:r>
        <w:rPr>
          <w:color w:val="0066CC"/>
        </w:rPr>
        <w:t>Diapositiva 13 – Beneficios y obstáculos clave</w:t>
      </w:r>
    </w:p>
    <w:p>
      <w:pPr>
        <w:pStyle w:val="ListBullet"/>
        <w:keepLines w:val="1"/>
        <w:keepNext w:val="1"/>
        <w:widowControl w:val="1"/>
      </w:pPr>
      <w:r>
        <w:t>Listado de beneficios más citados (seguridad, cumplimiento, experiencia, consolidación, etc.).</w:t>
      </w:r>
    </w:p>
    <w:p>
      <w:pPr>
        <w:pStyle w:val="ListBullet"/>
        <w:keepLines w:val="1"/>
        <w:keepNext w:val="1"/>
        <w:widowControl w:val="1"/>
      </w:pPr>
      <w:r>
        <w:t>Listado de obstáculos principales (complejidad, cultura, presupuesto, recursos).</w:t>
      </w:r>
    </w:p>
    <w:p>
      <w:pPr>
        <w:pStyle w:val="ListBullet"/>
        <w:keepLines w:val="1"/>
        <w:keepNext w:val="1"/>
        <w:widowControl w:val="1"/>
      </w:pPr>
      <w:r>
        <w:t>Mensaje narrativo:</w:t>
      </w:r>
    </w:p>
    <w:p>
      <w:pPr>
        <w:pStyle w:val="ListBullet"/>
        <w:keepLines w:val="1"/>
        <w:widowControl w:val="1"/>
      </w:pPr>
      <w:r>
        <w:t>Lo que está funcionando y lo que está frenando el viaje SASE.</w:t>
      </w:r>
    </w:p>
    <w:p>
      <w:pPr>
        <w:pStyle w:val="Heading2"/>
        <w:keepNext/>
        <w:keepLines/>
      </w:pPr>
      <w:r>
        <w:rPr>
          <w:color w:val="0066CC"/>
        </w:rPr>
        <w:t>Diapositiva 14 – Recomendaciones y próximos pasos</w:t>
      </w:r>
    </w:p>
    <w:p>
      <w:pPr>
        <w:pStyle w:val="ListBullet"/>
        <w:keepLines w:val="1"/>
        <w:keepNext w:val="1"/>
        <w:widowControl w:val="1"/>
      </w:pPr>
      <w:r>
        <w:t>Recomendaciones priorizadas (por ejemplo):</w:t>
      </w:r>
    </w:p>
    <w:p>
      <w:pPr>
        <w:pStyle w:val="ListBullet"/>
        <w:keepLines w:val="1"/>
        <w:keepNext w:val="1"/>
        <w:widowControl w:val="1"/>
      </w:pPr>
      <w:r>
        <w:t>Migrar de VPN a ZTNA en aplicaciones críticas.</w:t>
      </w:r>
    </w:p>
    <w:p>
      <w:pPr>
        <w:pStyle w:val="ListBullet"/>
        <w:keepLines w:val="1"/>
        <w:keepNext w:val="1"/>
        <w:widowControl w:val="1"/>
      </w:pPr>
      <w:r>
        <w:t>Integrar plenamente telemetría SASE en SIEM/SOC.</w:t>
      </w:r>
    </w:p>
    <w:p>
      <w:pPr>
        <w:pStyle w:val="ListBullet"/>
        <w:keepLines w:val="1"/>
        <w:keepNext w:val="1"/>
        <w:widowControl w:val="1"/>
      </w:pPr>
      <w:r>
        <w:t>Establecer SLOs de QoE y paneles de experiencia.</w:t>
      </w:r>
    </w:p>
    <w:p>
      <w:pPr>
        <w:pStyle w:val="ListBullet"/>
        <w:keepLines w:val="1"/>
        <w:keepNext w:val="1"/>
        <w:widowControl w:val="1"/>
      </w:pPr>
      <w:r>
        <w:t>Formalizar mapeo SASE–ENS/NIS2 y plan de auditorías.</w:t>
      </w:r>
    </w:p>
    <w:p>
      <w:pPr>
        <w:pStyle w:val="ListBullet"/>
        <w:keepLines w:val="1"/>
        <w:keepNext w:val="1"/>
        <w:widowControl w:val="1"/>
      </w:pPr>
      <w:r>
        <w:t>Revisar modelo de gobernanza redes–seguridad–riesgos.</w:t>
      </w:r>
    </w:p>
    <w:p>
      <w:pPr>
        <w:pStyle w:val="ListBullet"/>
        <w:keepLines w:val="1"/>
        <w:widowControl w:val="1"/>
      </w:pPr>
      <w:r>
        <w:t>Próximos pasos concretos con plazos orientativos.</w:t>
      </w:r>
    </w:p>
    <w:p>
      <w:pPr>
        <w:pStyle w:val="Heading2"/>
        <w:keepNext/>
        <w:keepLines/>
      </w:pPr>
      <w:r>
        <w:rPr>
          <w:color w:val="0066CC"/>
        </w:rPr>
        <w:t>Diapositiva 15 – Apéndices (opcional)</w:t>
      </w:r>
    </w:p>
    <w:p>
      <w:pPr>
        <w:pStyle w:val="ListBullet"/>
        <w:keepLines w:val="1"/>
        <w:keepNext w:val="1"/>
        <w:widowControl w:val="1"/>
      </w:pPr>
      <w:r>
        <w:t>Detalle metodológico (cómo se calculó el IGM y el ROI).</w:t>
      </w:r>
    </w:p>
    <w:p>
      <w:pPr>
        <w:pStyle w:val="ListBullet"/>
        <w:keepLines w:val="1"/>
        <w:keepNext w:val="1"/>
        <w:widowControl w:val="1"/>
      </w:pPr>
      <w:r>
        <w:t>Mapeo de preguntas a requisitos normativos (resumen visual de la tabla detallada).</w:t>
      </w:r>
    </w:p>
    <w:p>
      <w:pPr>
        <w:pStyle w:val="ListBullet"/>
        <w:keepLines w:val="1"/>
        <w:widowControl w:val="1"/>
      </w:pPr>
      <w:r>
        <w:t>Glosario de siglas (SASE, SSE, SD‑WAN, ZTNA, ENS, NIS2, etc.).</w:t>
      </w:r>
    </w:p>
    <w:p>
      <w:pPr>
        <w:pStyle w:val="Heading2"/>
        <w:keepNext/>
        <w:keepLines/>
      </w:pPr>
      <w:r>
        <w:rPr>
          <w:color w:val="0066CC"/>
        </w:rPr>
        <w:t>Notas de estilo para la presentación</w:t>
      </w:r>
    </w:p>
    <w:p>
      <w:pPr>
        <w:pStyle w:val="ListBullet"/>
        <w:keepLines w:val="1"/>
        <w:keepNext w:val="1"/>
        <w:widowControl w:val="1"/>
      </w:pPr>
      <w:r>
        <w:t>Evitar diapositivas saturadas de texto; usar frases cortas y gráficos claros.</w:t>
      </w:r>
    </w:p>
    <w:p>
      <w:pPr>
        <w:pStyle w:val="ListBullet"/>
        <w:keepLines w:val="1"/>
        <w:keepNext w:val="1"/>
        <w:widowControl w:val="1"/>
      </w:pPr>
      <w:r>
        <w:t>Mantener el tono profesional, pero no solemne: el objetivo es facilitar decisiones, no asustar.</w:t>
      </w:r>
    </w:p>
    <w:p>
      <w:pPr>
        <w:pStyle w:val="ListBullet"/>
        <w:keepLines w:val="1"/>
        <w:keepNext w:val="1"/>
        <w:widowControl w:val="1"/>
      </w:pPr>
      <w:r>
        <w:t>Asegurar que cada diapositiva responde implícitamente a una de estas preguntas:</w:t>
      </w:r>
    </w:p>
    <w:p>
      <w:pPr>
        <w:pStyle w:val="ListBullet"/>
        <w:keepLines w:val="1"/>
        <w:keepNext w:val="1"/>
        <w:widowControl w:val="1"/>
      </w:pPr>
      <w:r>
        <w:t>¿Dónde estamos?</w:t>
      </w:r>
    </w:p>
    <w:p>
      <w:pPr>
        <w:pStyle w:val="ListBullet"/>
        <w:keepLines w:val="1"/>
        <w:keepNext w:val="1"/>
        <w:widowControl w:val="1"/>
      </w:pPr>
      <w:r>
        <w:t>¿Qué significa?</w:t>
      </w:r>
    </w:p>
    <w:p>
      <w:pPr>
        <w:pStyle w:val="ListBullet"/>
        <w:keepLines w:val="1"/>
        <w:widowControl w:val="1"/>
      </w:pPr>
      <w:r>
        <w:t>¿Qué podemos hacer al respecto?</w:t>
      </w:r>
    </w:p>
    <w:p>
      <w:r>
        <w:t>Esta plantilla puede adaptarse fácilmente a un informe de comité de dirección, a una sesión de trabajo con equipos técnicos o a una presentación para órganos reguladores, ajustando el nivel de detalle y el énfasis en IGM vs. ROI.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