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SASE</w:t>
      </w:r>
    </w:p>
    <w:p>
      <w:r>
        <w:t xml:space="preserve">Bienvenido/a al </w:t>
      </w:r>
      <w:r>
        <w:rPr>
          <w:b/>
        </w:rPr>
        <w:t>Kit de Encuesta sobre Adopción, Madurez e Indicadores SASE/Zero Trust</w:t>
      </w:r>
      <w:r>
        <w:t>. Este paquete pretende ahorrarle horas de PowerPoint, discusiones circulares y hojas Excel improvisadas, ofreciendo un conjunto coherente de piezas listas para adaptar a su organización o estudio sectorial.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está compuesto por los siguientes archivos Markdown:</w:t>
      </w:r>
    </w:p>
    <w:p>
      <w:pPr>
        <w:pStyle w:val="ListNumber"/>
        <w:keepLines w:val="1"/>
        <w:keepNext w:val="1"/>
        <w:widowControl w:val="1"/>
      </w:pPr>
      <w:r>
        <w:t>encuesta-sase.md – Modelo de encuesta integral para responsables de ciberseguridad, redes, continuidad y riesgos.</w:t>
      </w:r>
    </w:p>
    <w:p>
      <w:pPr>
        <w:pStyle w:val="ListNumber"/>
        <w:keepLines w:val="1"/>
        <w:keepNext w:val="1"/>
        <w:widowControl w:val="1"/>
      </w:pPr>
      <w:r>
        <w:t>guia-metodo.md – Guía metodológica detallada para el diseño, despliegue y análisis de la encuesta, incluyendo el cálculo del Índice Global de Madurez (IGM).</w:t>
      </w:r>
    </w:p>
    <w:p>
      <w:pPr>
        <w:pStyle w:val="ListNumber"/>
        <w:keepLines w:val="1"/>
        <w:keepNext w:val="1"/>
        <w:widowControl w:val="1"/>
      </w:pPr>
      <w:r>
        <w:t>narrativa-sase.md – Narrativa explicativa para acompañar la encuesta y contextualizarla ante los participantes y la dirección.</w:t>
      </w:r>
    </w:p>
    <w:p>
      <w:pPr>
        <w:pStyle w:val="ListNumber"/>
        <w:keepLines w:val="1"/>
        <w:keepNext w:val="1"/>
        <w:widowControl w:val="1"/>
      </w:pPr>
      <w:r>
        <w:t>mapeo-norma.md – Mapa de preguntas vs. requisitos normativos (ENS, NIS2, GDPR y marcos de Zero Trust).</w:t>
      </w:r>
    </w:p>
    <w:p>
      <w:pPr>
        <w:pStyle w:val="ListNumber"/>
        <w:keepLines w:val="1"/>
        <w:keepNext w:val="1"/>
        <w:widowControl w:val="1"/>
      </w:pPr>
      <w:r>
        <w:t>plantilla-igm.md – Descripción de la plantilla de Excel para cálculo de IGM y ROI (estructura de hojas, columnas y fórmulas).</w:t>
      </w:r>
    </w:p>
    <w:p>
      <w:pPr>
        <w:pStyle w:val="ListNumber"/>
        <w:keepLines w:val="1"/>
        <w:widowControl w:val="1"/>
      </w:pPr>
      <w:r>
        <w:t>ppt-reporte.md – Plantilla de reporte ejecutivo tipo PowerPoint para comunicar resultados (estructura de diapositivas y mensajes clave).</w:t>
      </w:r>
    </w:p>
    <w:p>
      <w:r>
        <w:t>Cada archivo está pensado para ser editable y adaptable a su contexto particular (sectorial, nacional, organizativo).</w:t>
      </w:r>
    </w:p>
    <w:p>
      <w:pPr>
        <w:pStyle w:val="Heading2"/>
        <w:keepNext/>
        <w:keepLines/>
      </w:pPr>
      <w:r>
        <w:rPr>
          <w:color w:val="0066CC"/>
        </w:rPr>
        <w:t>2. Cómo empezar a usar el kit</w:t>
      </w:r>
    </w:p>
    <w:p>
      <w:r>
        <w:t>Se recomiendan los siguientes pasos:</w:t>
      </w:r>
    </w:p>
    <w:p>
      <w:pPr>
        <w:pStyle w:val="ListNumber"/>
        <w:keepLines w:val="1"/>
        <w:keepNext w:val="1"/>
        <w:widowControl w:val="1"/>
      </w:pPr>
      <w:r>
        <w:t>Revisión rápida de narrativa-sase.md para entender el enfoque y el tono de la encuesta.</w:t>
      </w:r>
    </w:p>
    <w:p>
      <w:pPr>
        <w:pStyle w:val="ListNumber"/>
        <w:keepLines w:val="1"/>
        <w:keepNext w:val="1"/>
        <w:widowControl w:val="1"/>
      </w:pPr>
      <w:r>
        <w:t>Adaptación de encuesta-sase.md:</w:t>
      </w:r>
    </w:p>
    <w:p>
      <w:pPr>
        <w:pStyle w:val="ListNumber"/>
        <w:keepLines w:val="1"/>
        <w:keepNext w:val="1"/>
        <w:widowControl w:val="1"/>
      </w:pPr>
      <w:r>
        <w:t>Ajuste la terminología a su organización (nombres de unidades, roles, etc.).</w:t>
      </w:r>
    </w:p>
    <w:p>
      <w:pPr>
        <w:pStyle w:val="ListNumber"/>
        <w:keepLines w:val="1"/>
        <w:keepNext w:val="1"/>
        <w:widowControl w:val="1"/>
      </w:pPr>
      <w:r>
        <w:t>Añada o elimine preguntas según su realidad (por ejemplo, si aún no opera en cloud, puede simplificar algunos bloques).</w:t>
      </w:r>
    </w:p>
    <w:p>
      <w:pPr>
        <w:pStyle w:val="ListNumber"/>
        <w:keepLines w:val="1"/>
        <w:keepNext w:val="1"/>
        <w:widowControl w:val="1"/>
      </w:pPr>
      <w:r>
        <w:t>Definición de parámetros en guia-metodo.md y plantilla-igm.md:</w:t>
      </w:r>
    </w:p>
    <w:p>
      <w:pPr>
        <w:pStyle w:val="ListNumber"/>
        <w:keepLines w:val="1"/>
        <w:keepNext w:val="1"/>
        <w:widowControl w:val="1"/>
      </w:pPr>
      <w:r>
        <w:t>Revise y adecúe las ponderaciones del IGM y los factores económicos de ROI.</w:t>
      </w:r>
    </w:p>
    <w:p>
      <w:pPr>
        <w:pStyle w:val="ListNumber"/>
        <w:keepLines w:val="1"/>
        <w:keepNext w:val="1"/>
        <w:widowControl w:val="1"/>
      </w:pPr>
      <w:r>
        <w:t>Implementación técnica:</w:t>
      </w:r>
    </w:p>
    <w:p>
      <w:pPr>
        <w:pStyle w:val="ListNumber"/>
        <w:keepLines w:val="1"/>
        <w:keepNext w:val="1"/>
        <w:widowControl w:val="1"/>
      </w:pPr>
      <w:r>
        <w:t>Implemente la encuesta en su herramienta de formularios preferida.</w:t>
      </w:r>
    </w:p>
    <w:p>
      <w:pPr>
        <w:pStyle w:val="ListNumber"/>
        <w:keepLines w:val="1"/>
        <w:keepNext w:val="1"/>
        <w:widowControl w:val="1"/>
      </w:pPr>
      <w:r>
        <w:t>Construya la hoja Excel siguiendo plantilla-igm.md.</w:t>
      </w:r>
    </w:p>
    <w:p>
      <w:pPr>
        <w:pStyle w:val="ListNumber"/>
        <w:keepLines w:val="1"/>
        <w:keepNext w:val="1"/>
        <w:widowControl w:val="1"/>
      </w:pPr>
      <w:r>
        <w:t>Preparación de reporting:</w:t>
      </w:r>
    </w:p>
    <w:p>
      <w:pPr>
        <w:pStyle w:val="ListNumber"/>
        <w:keepLines w:val="1"/>
        <w:keepNext w:val="1"/>
        <w:widowControl w:val="1"/>
      </w:pPr>
      <w:r>
        <w:t>Ajuste ppt-reporte.md a su plantilla corporativa de presentaciones.</w:t>
      </w:r>
    </w:p>
    <w:p>
      <w:pPr>
        <w:pStyle w:val="ListNumber"/>
        <w:keepLines w:val="1"/>
        <w:widowControl w:val="1"/>
      </w:pPr>
      <w:r>
        <w:t>Defina de antemano qué gráficos y cortes (por sector, tamaño, etc.) serán más relevantes.</w:t>
      </w:r>
    </w:p>
    <w:p>
      <w:pPr>
        <w:pStyle w:val="Heading2"/>
        <w:keepNext/>
        <w:keepLines/>
      </w:pPr>
      <w:r>
        <w:rPr>
          <w:color w:val="0066CC"/>
        </w:rPr>
        <w:t>3. Escenarios de uso típicos</w:t>
      </w:r>
    </w:p>
    <w:p>
      <w:pPr>
        <w:pStyle w:val="ListBullet"/>
        <w:keepLines w:val="1"/>
        <w:keepNext w:val="1"/>
        <w:widowControl w:val="1"/>
      </w:pPr>
      <w:r>
        <w:t>Diagnóstico interno en una sola organización (administración pública, operador esencial, gran empresa) como base para un plan director SASE/Zero Trust.</w:t>
      </w:r>
    </w:p>
    <w:p>
      <w:pPr>
        <w:pStyle w:val="ListBullet"/>
        <w:keepLines w:val="1"/>
        <w:keepNext w:val="1"/>
        <w:widowControl w:val="1"/>
      </w:pPr>
      <w:r>
        <w:t>Estudio sectorial coordinado por una asociación, regulador o grupo de trabajo, comparando niveles de madurez SASE entre organizaciones del mismo sector.</w:t>
      </w:r>
    </w:p>
    <w:p>
      <w:pPr>
        <w:pStyle w:val="ListBullet"/>
        <w:keepLines w:val="1"/>
        <w:widowControl w:val="1"/>
      </w:pPr>
      <w:r>
        <w:t>Análisis nacional alineado con ENS y NIS2, orientado a alimentar estrategias de ciberseguridad y prioridades de inversión.</w:t>
      </w:r>
    </w:p>
    <w:p>
      <w:pPr>
        <w:pStyle w:val="Heading2"/>
        <w:keepNext/>
        <w:keepLines/>
      </w:pPr>
      <w:r>
        <w:rPr>
          <w:color w:val="0066CC"/>
        </w:rPr>
        <w:t>4. Personalización y extensión</w:t>
      </w:r>
    </w:p>
    <w:p>
      <w:r>
        <w:t>Algunas ideas para extender el kit:</w:t>
      </w:r>
    </w:p>
    <w:p>
      <w:pPr>
        <w:pStyle w:val="ListBullet"/>
        <w:keepLines w:val="1"/>
        <w:keepNext w:val="1"/>
        <w:widowControl w:val="1"/>
      </w:pPr>
      <w:r>
        <w:t>Incorporar bloques específicos por sector (sanidad, justicia, educación) añadiendo preguntas adicionales.</w:t>
      </w:r>
    </w:p>
    <w:p>
      <w:pPr>
        <w:pStyle w:val="ListBullet"/>
        <w:keepLines w:val="1"/>
        <w:keepNext w:val="1"/>
        <w:widowControl w:val="1"/>
      </w:pPr>
      <w:r>
        <w:t>Detallar aún más el modelo de ROI, incluyendo escenarios de coste evitado por multas o sanciones regulatorias.</w:t>
      </w:r>
    </w:p>
    <w:p>
      <w:pPr>
        <w:pStyle w:val="ListBullet"/>
        <w:keepLines w:val="1"/>
        <w:widowControl w:val="1"/>
      </w:pPr>
      <w:r>
        <w:t>Integrar la encuesta con otras evaluaciones (ISO 27001, ENS, auditorías internas) para reducir fatiga de formularios.</w:t>
      </w:r>
    </w:p>
    <w:p>
      <w:r>
        <w:t xml:space="preserve">El kit está diseñado para ser </w:t>
      </w:r>
      <w:r>
        <w:rPr>
          <w:b/>
        </w:rPr>
        <w:t>flexible y evolutivo</w:t>
      </w:r>
      <w:r>
        <w:t>: no tenga reparo en versionarlo, siempre que mantenga registro de los cambios para interpretar correctamente los resultados en el tiempo.</w:t>
      </w:r>
    </w:p>
    <w:p>
      <w:pPr>
        <w:pStyle w:val="Heading2"/>
        <w:keepNext/>
        <w:keepLines/>
      </w:pPr>
      <w:r>
        <w:rPr>
          <w:color w:val="0066CC"/>
        </w:rPr>
        <w:t>5. Buenas prácticas de uso</w:t>
      </w:r>
    </w:p>
    <w:p>
      <w:pPr>
        <w:pStyle w:val="ListBullet"/>
        <w:keepLines w:val="1"/>
        <w:keepNext w:val="1"/>
        <w:widowControl w:val="1"/>
      </w:pPr>
      <w:r>
        <w:t>Procure que la encuesta tenga patrocinio claro (CISO, CIO, Dir. de Riesgos) y una comunicación honesta de objetivos.</w:t>
      </w:r>
    </w:p>
    <w:p>
      <w:pPr>
        <w:pStyle w:val="ListBullet"/>
        <w:keepLines w:val="1"/>
        <w:keepNext w:val="1"/>
        <w:widowControl w:val="1"/>
      </w:pPr>
      <w:r>
        <w:t>Devuelva siempre valor a los participantes: un informe de resultados y recomendaciones marca la diferencia entre “otra encuesta más” y una herramienta útil.</w:t>
      </w:r>
    </w:p>
    <w:p>
      <w:pPr>
        <w:pStyle w:val="ListBullet"/>
        <w:keepLines w:val="1"/>
        <w:widowControl w:val="1"/>
      </w:pPr>
      <w:r>
        <w:t>Use los resultados para abrir conversaciones sobre arquitectura, gobernanza y prioridades, no para buscar culpables.</w:t>
      </w:r>
    </w:p>
    <w:p>
      <w:pPr>
        <w:pStyle w:val="Heading2"/>
        <w:keepNext/>
        <w:keepLines/>
      </w:pPr>
      <w:r>
        <w:rPr>
          <w:color w:val="0066CC"/>
        </w:rPr>
        <w:t>6. Licencia y créditos</w:t>
      </w:r>
    </w:p>
    <w:p>
      <w:r>
        <w:t>Este kit está concebido como una base reutilizable y adaptable. Se recomienda:</w:t>
      </w:r>
    </w:p>
    <w:p>
      <w:pPr>
        <w:pStyle w:val="ListBullet"/>
        <w:keepLines w:val="1"/>
        <w:keepNext w:val="1"/>
        <w:widowControl w:val="1"/>
      </w:pPr>
      <w:r>
        <w:t>Citar su procedencia en documentos derivados, especialmente si se comparte externamente.</w:t>
      </w:r>
    </w:p>
    <w:p>
      <w:pPr>
        <w:pStyle w:val="ListBullet"/>
        <w:keepLines w:val="1"/>
        <w:widowControl w:val="1"/>
      </w:pPr>
      <w:r>
        <w:t>Indicar claramente las modificaciones realizadas, para que los lectores sepan qué partes son de origen y cuáles son específicas de su organización.</w:t>
      </w:r>
    </w:p>
    <w:p>
      <w:r>
        <w:t>Si el kit le ayuda a transformar presentaciones vagas sobre SASE en decisiones concretas y medibles, habrá cumplido de sobra su propósito.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