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DETALLADA</w:t>
      </w:r>
    </w:p>
    <w:p>
      <w:pPr>
        <w:pStyle w:val="Heading2"/>
        <w:keepNext/>
        <w:keepLines/>
      </w:pPr>
      <w:r>
        <w:rPr>
          <w:color w:val="0066CC"/>
        </w:rPr>
        <w:t>Análisis, Cálculo e Interpretación de Resultados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Introducción Metodológica</w:t>
      </w:r>
    </w:p>
    <w:p>
      <w:pPr>
        <w:pStyle w:val="ListNumber"/>
        <w:keepLines w:val="1"/>
        <w:keepNext w:val="1"/>
        <w:widowControl w:val="1"/>
      </w:pPr>
      <w:r>
        <w:t>Estructura de Análisis</w:t>
      </w:r>
    </w:p>
    <w:p>
      <w:pPr>
        <w:pStyle w:val="ListNumber"/>
        <w:keepLines w:val="1"/>
        <w:keepNext w:val="1"/>
        <w:widowControl w:val="1"/>
      </w:pPr>
      <w:r>
        <w:t>Cálculo de Indicadores Clave (KPIs)</w:t>
      </w:r>
    </w:p>
    <w:p>
      <w:pPr>
        <w:pStyle w:val="ListNumber"/>
        <w:keepLines w:val="1"/>
        <w:keepNext w:val="1"/>
        <w:widowControl w:val="1"/>
      </w:pPr>
      <w:r>
        <w:t>Matriz de Madurez y Scoring</w:t>
      </w:r>
    </w:p>
    <w:p>
      <w:pPr>
        <w:pStyle w:val="ListNumber"/>
        <w:keepLines w:val="1"/>
        <w:keepNext w:val="1"/>
        <w:widowControl w:val="1"/>
      </w:pPr>
      <w:r>
        <w:t>Análisis por Dominio</w:t>
      </w:r>
    </w:p>
    <w:p>
      <w:pPr>
        <w:pStyle w:val="ListNumber"/>
        <w:keepLines w:val="1"/>
        <w:keepNext w:val="1"/>
        <w:widowControl w:val="1"/>
      </w:pPr>
      <w:r>
        <w:t>Interpretación de Resultados</w:t>
      </w:r>
    </w:p>
    <w:p>
      <w:pPr>
        <w:pStyle w:val="ListNumber"/>
        <w:keepLines w:val="1"/>
        <w:keepNext w:val="1"/>
        <w:widowControl w:val="1"/>
      </w:pPr>
      <w:r>
        <w:t>Benchmarking Comparativo</w:t>
      </w:r>
    </w:p>
    <w:p>
      <w:pPr>
        <w:pStyle w:val="ListNumber"/>
        <w:keepLines w:val="1"/>
        <w:widowControl w:val="1"/>
      </w:pPr>
      <w:r>
        <w:t>Generación de Recomendaciones</w:t>
      </w:r>
    </w:p>
    <w:p>
      <w:pPr>
        <w:pStyle w:val="Heading2"/>
        <w:keepNext/>
        <w:keepLines/>
      </w:pPr>
      <w:r>
        <w:rPr>
          <w:color w:val="0066CC"/>
        </w:rPr>
        <w:t>1. INTRODUCCIÓN METODOLÓGICA</w:t>
      </w:r>
    </w:p>
    <w:p>
      <w:r>
        <w:t>Esta encuesta de ciberseguridad integra tres marcos internacionales de reconocido prestigio:</w:t>
      </w:r>
    </w:p>
    <w:p>
      <w:pPr>
        <w:pStyle w:val="Heading3"/>
        <w:keepNext/>
        <w:keepLines/>
      </w:pPr>
      <w:r>
        <w:t>1.1 NIST Cybersecurity Framework v2.0</w:t>
      </w:r>
    </w:p>
    <w:p>
      <w:r>
        <w:t>Proporciona estructura de 5 funciones core (Identify, Protect, Detect, Respond, Recover) y 6 niveles de madurez (1. Incomplete a 6. Optimized).</w:t>
      </w:r>
    </w:p>
    <w:p>
      <w:pPr>
        <w:pStyle w:val="Heading3"/>
        <w:keepNext/>
        <w:keepLines/>
      </w:pPr>
      <w:r>
        <w:t>1.2 ISO/IEC 27001:2022</w:t>
      </w:r>
    </w:p>
    <w:p>
      <w:r>
        <w:t>Define 93 controles de seguridad (Anexo A) organizados en 4 categorías: gobernanza, personas, procesos, tecnología.</w:t>
      </w:r>
    </w:p>
    <w:p>
      <w:pPr>
        <w:pStyle w:val="Heading3"/>
        <w:keepNext/>
        <w:keepLines/>
      </w:pPr>
      <w:r>
        <w:t>1.3 Metodología Mercury AVRQ</w:t>
      </w:r>
    </w:p>
    <w:p>
      <w:r>
        <w:t>Enfoque de cuantificación de riesgos basado en valor de activos (Asset Value-based Risk Quantification), con automatización y scoring empírico.</w:t>
      </w:r>
    </w:p>
    <w:p>
      <w:pPr>
        <w:pStyle w:val="Heading3"/>
        <w:keepNext/>
        <w:keepLines/>
      </w:pPr>
      <w:r>
        <w:t>1.4 Directiva NIS2</w:t>
      </w:r>
    </w:p>
    <w:p>
      <w:r>
        <w:t>Requisitos operacionales y técnicos para Entidades Esenciales e Importantes en la Unión Europea.</w:t>
      </w:r>
    </w:p>
    <w:p>
      <w:pPr>
        <w:pStyle w:val="Heading2"/>
        <w:keepNext/>
        <w:keepLines/>
      </w:pPr>
      <w:r>
        <w:rPr>
          <w:color w:val="0066CC"/>
        </w:rPr>
        <w:t>2. ESTRUCTURA DE ANÁLISIS</w:t>
      </w:r>
    </w:p>
    <w:p>
      <w:pPr>
        <w:pStyle w:val="Heading3"/>
        <w:keepNext/>
        <w:keepLines/>
      </w:pPr>
      <w:r>
        <w:t>2.1 Dominios de Evaluación</w:t>
      </w:r>
    </w:p>
    <w:p>
      <w:r>
        <w:t>La encuesta se organiza en 12 dominios: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Abreviatura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y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Pruebas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SIEM 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Capacitación de Empleados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 Normativo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Cadena de Suministro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SUPL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Técnicos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CTRL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Inteligencia de Amenazas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INT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P11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5%</w:t>
            </w:r>
          </w:p>
        </w:tc>
      </w:tr>
    </w:tbl>
    <w:p/>
    <w:p>
      <w:r>
        <w:rPr>
          <w:b/>
        </w:rPr>
        <w:t>Total: 100% | Peso máximo: 5 puntos por pregunta</w:t>
      </w:r>
    </w:p>
    <w:p>
      <w:pPr>
        <w:pStyle w:val="Heading3"/>
        <w:keepNext/>
        <w:keepLines/>
      </w:pPr>
      <w:r>
        <w:t>2.2 Modelo de Respuesta</w:t>
      </w:r>
    </w:p>
    <w:p>
      <w:r>
        <w:t>Cada pregunta utiliza una escala Likert modificada de 1-5: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 = Inexistente / Ad hoc / Manual / Sin documentación</w:t>
        <w:br/>
        <w:t>2 = Básico / Inicial / Parcialmente documentado</w:t>
        <w:br/>
        <w:t>3 = Definido / Establecido / Completamente documentado</w:t>
        <w:br/>
        <w:t>4 = Gestionado / Medido / Automatizado parcialmente / Monitorizado</w:t>
        <w:br/>
        <w:t>5 = Optimizado / Continuo / Totalmente automatizado / En mejora constante</w:t>
        <w:br/>
      </w:r>
    </w:p>
    <w:p>
      <w:r>
        <w:rPr>
          <w:b/>
        </w:rPr>
        <w:t>Ejemplo de interpretación:</w:t>
      </w:r>
      <w:r/>
      <w:r>
        <w:br/>
        <w:t>- Pregunta P3.2: "¿Se utiliza un sistema de puntuación (CVSS/EPSS)?"</w:t>
      </w:r>
      <w:r/>
      <w:r>
        <w:br/>
        <w:t xml:space="preserve">  - Respuesta "No existe sistema formal" = 1 punto</w:t>
      </w:r>
      <w:r/>
      <w:r>
        <w:br/>
        <w:t xml:space="preserve">  - Respuesta "Sistema propietario" = 3 puntos</w:t>
      </w:r>
      <w:r/>
      <w:r>
        <w:br/>
        <w:t xml:space="preserve">  - Respuesta "CVSS y EPSS integrados" = 5 puntos</w:t>
      </w:r>
    </w:p>
    <w:p>
      <w:pPr>
        <w:pStyle w:val="Heading2"/>
        <w:keepNext/>
        <w:keepLines/>
      </w:pPr>
      <w:r>
        <w:rPr>
          <w:color w:val="0066CC"/>
        </w:rPr>
        <w:t>3. CÁLCULO DE INDICADORES CLAVE (KPIs)</w:t>
      </w:r>
    </w:p>
    <w:p>
      <w:pPr>
        <w:pStyle w:val="Heading3"/>
        <w:keepNext/>
        <w:keepLines/>
      </w:pPr>
      <w:r>
        <w:t>3.1 Índice Global de Madurez (IGM)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(Σ Puntuación por Dominio × Peso del Dominio) / 5</w:t>
        <w:br/>
      </w:r>
    </w:p>
    <w:p>
      <w:r>
        <w:t>Donde:</w:t>
      </w:r>
      <w:r/>
      <w:r>
        <w:br/>
        <w:t xml:space="preserve">- </w:t>
      </w:r>
      <w:r>
        <w:rPr>
          <w:b/>
        </w:rPr>
        <w:t>Σ Puntuación por Dominio</w:t>
      </w:r>
      <w:r>
        <w:t xml:space="preserve"> = Promedio ponderado de respuestas en cada dominio</w:t>
      </w:r>
      <w:r/>
      <w:r>
        <w:br/>
        <w:t xml:space="preserve">- </w:t>
      </w:r>
      <w:r>
        <w:rPr>
          <w:b/>
        </w:rPr>
        <w:t>Peso del Dominio</w:t>
      </w:r>
      <w:r>
        <w:t xml:space="preserve"> = Porcentaje asignado (ver Tabla 2.1)</w:t>
      </w:r>
      <w:r/>
      <w:r>
        <w:br/>
        <w:t xml:space="preserve">- </w:t>
      </w:r>
      <w:r>
        <w:rPr>
          <w:b/>
        </w:rPr>
        <w:t>Divisor 5</w:t>
      </w:r>
      <w:r>
        <w:t xml:space="preserve"> = Normalización a escala 0-5</w:t>
      </w:r>
    </w:p>
    <w:p>
      <w:r>
        <w:rPr>
          <w:b/>
        </w:rPr>
        <w:t>Ejemplo de cálculo: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Dominio GR (Gobernanza): </w:t>
        <w:br/>
        <w:t xml:space="preserve">  - P2.1 (Metodología formal): 4 puntos</w:t>
        <w:br/>
        <w:t xml:space="preserve">  - P2.2 (Cuantificación AVRQ): 2 puntos</w:t>
        <w:br/>
        <w:t xml:space="preserve">  - P2.3 (Planes de tratamiento): 3 puntos</w:t>
        <w:br/>
        <w:t xml:space="preserve">  Promedio GR = (4+2+3)/3 = 3.0 puntos</w:t>
        <w:br/>
        <w:t xml:space="preserve">  Contribución = 3.0 × 20% = 0.60</w:t>
        <w:br/>
        <w:br/>
        <w:t>Dominio VUL (Vulnerabilidades):</w:t>
        <w:br/>
        <w:t xml:space="preserve">  - P3.1 (Escaneo frecuencia): 4 puntos</w:t>
        <w:br/>
        <w:t xml:space="preserve">  - P3.2 (Priorización CVSS): 4 puntos</w:t>
        <w:br/>
        <w:t xml:space="preserve">  - P3.3 (Gestión de parches): 3 puntos</w:t>
        <w:br/>
        <w:t xml:space="preserve">  Promedio VUL = (4+4+3)/3 = 3.67 puntos</w:t>
        <w:br/>
        <w:t xml:space="preserve">  Contribución = 3.67 × 15% = 0.55</w:t>
        <w:br/>
        <w:br/>
        <w:t>IGM = (0.60 + 0.55 + ... [otros dominios] / 5</w:t>
        <w:br/>
      </w:r>
    </w:p>
    <w:p>
      <w:pPr>
        <w:pStyle w:val="Heading3"/>
        <w:keepNext/>
        <w:keepLines/>
      </w:pPr>
      <w:r>
        <w:t>3.2 Puntuación por Dominio (PD)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PD[x] = (Σ Respuestas en Dominio / Nº de Preguntas) / 5</w:t>
        <w:br/>
      </w:r>
    </w:p>
    <w:p>
      <w:r>
        <w:t>Produce valor 0.0-1.0 para cada dominio, facilitando identificación de brechas.</w:t>
      </w:r>
    </w:p>
    <w:p>
      <w:pPr>
        <w:pStyle w:val="Heading3"/>
        <w:keepNext/>
        <w:keepLines/>
      </w:pPr>
      <w:r>
        <w:t>3.3 Índice de Madurez NIST CSF (NIM)</w:t>
      </w:r>
    </w:p>
    <w:p>
      <w:r>
        <w:t>Mapea resultados a niveles NIST (1-6):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NIM Puntuación = IGM × 6</w:t>
        <w:br/>
        <w:br/>
        <w:t>Si NIM Puntuación ≤ 1.2 → Nivel 1 (Incomplete)</w:t>
        <w:br/>
        <w:t>Si 1.2 &lt; NIM ≤ 2.4 → Nivel 2 (Managed)</w:t>
        <w:br/>
        <w:t>Si 2.4 &lt; NIM ≤ 3.6 → Nivel 3 (Defined)</w:t>
        <w:br/>
        <w:t>Si 3.6 &lt; NIM ≤ 4.8 → Nivel 4 (Quantitatively Managed)</w:t>
        <w:br/>
        <w:t>Si NIM &gt; 4.8 → Nivel 5/6 (Optimized)</w:t>
        <w:br/>
      </w:r>
    </w:p>
    <w:p>
      <w:pPr>
        <w:pStyle w:val="Heading3"/>
        <w:keepNext/>
        <w:keepLines/>
      </w:pPr>
      <w:r>
        <w:t>3.4 Índice de Conformidad Normativa (ICN)</w:t>
      </w:r>
    </w:p>
    <w:p>
      <w:r>
        <w:t>Calcula conformidad con NIS2, ISO 27001 basándose en dominio NORM: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ICN = (PD[NORM] × 100)</w:t>
        <w:br/>
        <w:br/>
        <w:t>ICN ≥ 80% → Conforme</w:t>
        <w:br/>
        <w:t>ICN 60-79% → Parcialmente conforme</w:t>
        <w:br/>
        <w:t>ICN &lt;60% → No conforme</w:t>
        <w:br/>
      </w:r>
    </w:p>
    <w:p>
      <w:pPr>
        <w:pStyle w:val="Heading3"/>
        <w:keepNext/>
        <w:keepLines/>
      </w:pPr>
      <w:r>
        <w:t>3.5 Retorno sobre Inversión en Ciberseguridad (ROICS)</w:t>
      </w:r>
    </w:p>
    <w:p>
      <w:r>
        <w:t>Estima impacto financiero de inversiones de seguridad usando metodología Mercury AVRQ:</w:t>
      </w:r>
    </w:p>
    <w:p>
      <w:r>
        <w:rPr>
          <w:b/>
        </w:rPr>
        <w:t>Fórmula: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ROICS = (Riesgos Mitigados en € - Costos de Mitigación en €) / Costos de Mitigación en € × 100%</w:t>
        <w:br/>
        <w:br/>
        <w:t>Donde:</w:t>
        <w:br/>
        <w:t>- Riesgos Mitigados = AVRQ Score × Valor de Activo Protegido × Probabilidad de Incidente</w:t>
        <w:br/>
        <w:t>- Costos de Mitigación = Inversión en controles + Operación anual</w:t>
        <w:br/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en SIEM: €50.000</w:t>
        <w:br/>
        <w:t>Operación anual: €15.000</w:t>
        <w:br/>
        <w:t>Total costo 3 años: €95.000</w:t>
        <w:br/>
        <w:br/>
        <w:t>Riesgos mitigados (estimado):</w:t>
        <w:br/>
        <w:t>- Pérdida por ransomware prevenido: €300.000</w:t>
        <w:br/>
        <w:t>- Mejora en MTTR (reducción de 8h a 2h) = €80.000</w:t>
        <w:br/>
        <w:t>- Cumplimiento NIS2 (evitar sanciones €10M × 0.1% probabilidad): €10.000</w:t>
        <w:br/>
        <w:t>Total mitigado 3 años: €390.000</w:t>
        <w:br/>
        <w:br/>
        <w:t>ROICS = (390.000 - 95.000) / 95.000 × 100% = 310%</w:t>
        <w:br/>
      </w:r>
    </w:p>
    <w:p>
      <w:pPr>
        <w:pStyle w:val="Heading2"/>
        <w:keepNext/>
        <w:keepLines/>
      </w:pPr>
      <w:r>
        <w:rPr>
          <w:color w:val="0066CC"/>
        </w:rPr>
        <w:t>4. MATRIZ DE MADUREZ Y SCORING</w:t>
      </w:r>
    </w:p>
    <w:p>
      <w:pPr>
        <w:pStyle w:val="Heading3"/>
        <w:keepNext/>
        <w:keepLines/>
      </w:pPr>
      <w:r>
        <w:t>4.1 Matriz de Puntuación por Pregunta</w:t>
      </w:r>
    </w:p>
    <w:p>
      <w:r>
        <w:t>Cada pregunta se puntúa independientemente: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NIST CSF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Mercury AVRQ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Incomplete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implementado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Ad hoc, sin automatización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Managed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Parcialmente implementado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Documentado, manual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Documentado, parcialmente automatizado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Quantitatively Managed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Medido, monitoreado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Automatizado, métricas disponibles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Optimized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Optimizado, mejora continua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Totalmente automatizado, inteligencia artificial</w:t>
            </w:r>
          </w:p>
        </w:tc>
      </w:tr>
    </w:tbl>
    <w:p/>
    <w:p>
      <w:pPr>
        <w:pStyle w:val="Heading3"/>
        <w:keepNext/>
        <w:keepLines/>
      </w:pPr>
      <w:r>
        <w:t>4.2 Matriz de Brecha (Gap Analysis)</w:t>
      </w:r>
    </w:p>
    <w:p>
      <w:r>
        <w:t>Para cada dominio, se calcula brecha respecto a objetivo: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 = Puntuación Objetivo (5.0) - Puntuación Actual</w:t>
        <w:br/>
        <w:t>Prioridad = Brecha × Peso del Dominio × Criticidad Regulatoria</w:t>
        <w:br/>
      </w:r>
    </w:p>
    <w:p>
      <w:r>
        <w:rPr>
          <w:b/>
        </w:rPr>
        <w:t>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 GR actual: 2.5 puntos</w:t>
        <w:br/>
        <w:t>Dominio GR objetivo: 4.5 puntos</w:t>
        <w:br/>
        <w:t>Brecha = 4.5 - 2.5 = 2.0</w:t>
        <w:br/>
        <w:t>Prioridad = 2.0 × 20% × 1.0 (crítico NIS2) = 0.40 (ALTA)</w:t>
        <w:br/>
        <w:br/>
        <w:t>Dominio SUPL actual: 3.0 puntos</w:t>
        <w:br/>
        <w:t>Dominio SUPL objetivo: 4.5 puntos</w:t>
        <w:br/>
        <w:t>Brecha = 4.5 - 3.0 = 1.5</w:t>
        <w:br/>
        <w:t>Prioridad = 1.5 × 5% × 0.8 (medio) = 0.06 (BAJA)</w:t>
        <w:br/>
      </w:r>
    </w:p>
    <w:p>
      <w:pPr>
        <w:pStyle w:val="Heading2"/>
        <w:keepNext/>
        <w:keepLines/>
      </w:pPr>
      <w:r>
        <w:rPr>
          <w:color w:val="0066CC"/>
        </w:rPr>
        <w:t>5. ANÁLISIS POR DOMINIO</w:t>
      </w:r>
    </w:p>
    <w:p>
      <w:pPr>
        <w:pStyle w:val="Heading3"/>
        <w:keepNext/>
        <w:keepLines/>
      </w:pPr>
      <w:r>
        <w:t>5.1 Dominio Gobernanza y Riesgos (GR)</w:t>
      </w:r>
    </w:p>
    <w:p>
      <w:r>
        <w:rPr>
          <w:b/>
        </w:rPr>
        <w:t>Propósito:</w:t>
      </w:r>
      <w:r>
        <w:t xml:space="preserve"> Evaluar existencia de marcos formales de gestión de riesgos.</w:t>
      </w:r>
    </w:p>
    <w:p>
      <w:r>
        <w:rPr>
          <w:b/>
        </w:rPr>
        <w:t>Preguntas clave:</w:t>
      </w:r>
      <w:r/>
      <w:r>
        <w:br/>
        <w:t>- P2.1: Metodología formal (ISO 27005, NIST SP 800-30)</w:t>
      </w:r>
      <w:r/>
      <w:r>
        <w:br/>
        <w:t>- P2.2: Cuantificación AVRQ/FAIR</w:t>
      </w:r>
      <w:r/>
      <w:r>
        <w:br/>
        <w:t>- P2.3: Planes de tratamiento con propietarios</w:t>
      </w:r>
    </w:p>
    <w:p>
      <w:r>
        <w:rPr>
          <w:b/>
        </w:rPr>
        <w:t>Interpretación: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Puntuación 1-2: Riesgos identificados de forma ad hoc o inexistentes. </w:t>
        <w:br/>
        <w:t>Recomendación: Implementar ISO 27005 con urgencia.</w:t>
        <w:br/>
        <w:br/>
        <w:t>Puntuación 3: Marco establecido pero sin cuantificación monetaria.</w:t>
        <w:br/>
        <w:t>Recomendación: Adoptar AVRQ para cuantificación y ROI.</w:t>
        <w:br/>
        <w:br/>
        <w:t>Puntuación 4-5: Marcos avanzados con automatización y análisis continuo.</w:t>
        <w:br/>
        <w:t>Recomendación: Optimizar mapeo a Mercury AVRQ, integración IA/ML.</w:t>
        <w:br/>
      </w:r>
    </w:p>
    <w:p>
      <w:pPr>
        <w:pStyle w:val="Heading3"/>
        <w:keepNext/>
        <w:keepLines/>
      </w:pPr>
      <w:r>
        <w:t>5.2 Dominio Vulnerabilidades (VUL)</w:t>
      </w:r>
    </w:p>
    <w:p>
      <w:r>
        <w:rPr>
          <w:b/>
        </w:rPr>
        <w:t>Propósito:</w:t>
      </w:r>
      <w:r>
        <w:t xml:space="preserve"> Evaluar capacidad de identificación y remediación de vulnerabilidades.</w:t>
      </w:r>
    </w:p>
    <w:p>
      <w:r>
        <w:rPr>
          <w:b/>
        </w:rPr>
        <w:t>Preguntas clave:</w:t>
      </w:r>
      <w:r/>
      <w:r>
        <w:br/>
        <w:t>- P3.1: Frecuencia de escaneo</w:t>
      </w:r>
      <w:r/>
      <w:r>
        <w:br/>
        <w:t>- P3.2: Priorización CVSS/EPSS</w:t>
      </w:r>
      <w:r/>
      <w:r>
        <w:br/>
        <w:t>- P3.3: MTTR (Mean Time To Remediation)</w:t>
      </w:r>
    </w:p>
    <w:p>
      <w:r>
        <w:rPr>
          <w:b/>
        </w:rPr>
        <w:t>KPIs calculados: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Velocidad de Remediación = (Vulnerabilidades Críticas Remediadas / Total Detectadas) / MTTR</w:t>
        <w:br/>
        <w:br/>
        <w:t>Cobertura de Scanning = (Activos Escaneados / Total de Activos) × 100%</w:t>
        <w:br/>
        <w:br/>
        <w:t>Índice de Riesgo Residual = Σ (CVSS Score × Días Abiertos / 365) para vulnerabilidades antiguas</w:t>
        <w:br/>
      </w:r>
    </w:p>
    <w:p>
      <w:r>
        <w:rPr>
          <w:b/>
        </w:rPr>
        <w:t>Benchmarks internacionales: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Excelente (&gt;85%):</w:t>
        <w:br/>
        <w:t>- Scan coverage: &gt;95%</w:t>
        <w:br/>
        <w:t>- MTTR críticos: &lt;7 días</w:t>
        <w:br/>
        <w:t>- Tasa de remediación: &gt;90%</w:t>
        <w:br/>
        <w:br/>
        <w:t>Bueno (70-85%):</w:t>
        <w:br/>
        <w:t>- Scan coverage: 85-95%</w:t>
        <w:br/>
        <w:t>- MTTR críticos: 7-14 días</w:t>
        <w:br/>
        <w:t>- Tasa: 75-90%</w:t>
        <w:br/>
        <w:br/>
        <w:t>Aceptable (50-70%):</w:t>
        <w:br/>
        <w:t>- Scan coverage: 70-85%</w:t>
        <w:br/>
        <w:t>- MTTR críticos: 14-30 días</w:t>
        <w:br/>
        <w:t>- Tasa: 50-75%</w:t>
        <w:br/>
        <w:br/>
        <w:t>Requiere mejora (&lt;50%):</w:t>
        <w:br/>
        <w:t>- Scan coverage: &lt;70%</w:t>
        <w:br/>
        <w:t>- MTTR críticos: &gt;30 días</w:t>
        <w:br/>
        <w:t>- Tasa: &lt;50%</w:t>
        <w:br/>
      </w:r>
    </w:p>
    <w:p>
      <w:pPr>
        <w:pStyle w:val="Heading3"/>
        <w:keepNext/>
        <w:keepLines/>
      </w:pPr>
      <w:r>
        <w:t>5.3 Dominio SIEM e Incidentes (SIEM)</w:t>
      </w:r>
    </w:p>
    <w:p>
      <w:r>
        <w:rPr>
          <w:b/>
        </w:rPr>
        <w:t>Propósito:</w:t>
      </w:r>
      <w:r>
        <w:t xml:space="preserve"> Evaluar capacidad de detección y respuesta a incidentes.</w:t>
      </w:r>
    </w:p>
    <w:p>
      <w:r>
        <w:rPr>
          <w:b/>
        </w:rPr>
        <w:t>Preguntas clave:</w:t>
      </w:r>
      <w:r/>
      <w:r>
        <w:br/>
        <w:t>- P5.2: Tasa de falsos positivos</w:t>
      </w:r>
      <w:r/>
      <w:r>
        <w:br/>
        <w:t>- P5.2: MTTD (Mean Time To Detect)</w:t>
      </w:r>
      <w:r/>
      <w:r>
        <w:br/>
        <w:t>- P5.3: MTTR (Mean Time To Respond)</w:t>
      </w:r>
    </w:p>
    <w:p>
      <w:r>
        <w:rPr>
          <w:b/>
        </w:rPr>
        <w:t>KPIs avanzados: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Eficiencia de Detección = MTTD / Complejidad del Ataque</w:t>
        <w:br/>
        <w:t>(Idealmente &lt;1 hora para ataques complejos)</w:t>
        <w:br/>
        <w:br/>
        <w:t>Calidad de Alertas = (Alertas Verdaderas Positivas) / (Total de Alertas) = 1 - FPR</w:t>
        <w:br/>
        <w:t>(Idealmente &gt;95%, es decir FPR &lt;5%)</w:t>
        <w:br/>
        <w:br/>
        <w:t>Velocidad de Respuesta = MTTR para incidentes críticos</w:t>
        <w:br/>
        <w:t>(Objetivo NIS2: &lt;1 hora inicial, &lt;24h notificación)</w:t>
        <w:br/>
        <w:br/>
        <w:t>Cobertura de Incidentes = (Incidentes Detectados internamente) / (Total detectados después, por cliente, etc.)</w:t>
        <w:br/>
      </w:r>
    </w:p>
    <w:p>
      <w:pPr>
        <w:pStyle w:val="Heading3"/>
        <w:keepNext/>
        <w:keepLines/>
      </w:pPr>
      <w:r>
        <w:t>5.4 Dominio Capacitación de Empleados (CAP)</w:t>
      </w:r>
    </w:p>
    <w:p>
      <w:r>
        <w:rPr>
          <w:b/>
        </w:rPr>
        <w:t>Propósito:</w:t>
      </w:r>
      <w:r>
        <w:t xml:space="preserve"> Evaluar efectividad de programas de concienciación.</w:t>
      </w:r>
    </w:p>
    <w:p>
      <w:r>
        <w:rPr>
          <w:b/>
        </w:rPr>
        <w:t>Preguntas clave:</w:t>
      </w:r>
      <w:r/>
      <w:r>
        <w:br/>
        <w:t>- P6.2: Tasa de aprobación en evaluaciones</w:t>
      </w:r>
      <w:r/>
      <w:r>
        <w:br/>
        <w:t>- P6.3: Click rate en phishing simulado</w:t>
      </w:r>
      <w:r/>
      <w:r>
        <w:br/>
        <w:t>- P6.4: Tasa de reporte de amenazas</w:t>
      </w:r>
    </w:p>
    <w:p>
      <w:r>
        <w:rPr>
          <w:b/>
        </w:rPr>
        <w:t>Métricas de Comportamiento: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Índice de Resiliencia del Usuario = (% de emails reportados - % de clicks) × 100</w:t>
        <w:br/>
        <w:t>(Idealmente &gt;50%; &gt;20% es aceptable)</w:t>
        <w:br/>
        <w:br/>
        <w:t>Mejora Conductual = (Click Rate Pre-Training) - (Click Rate Post-Training) / Pre × 100%</w:t>
        <w:br/>
        <w:t>(Idealmente &gt;30% reducción)</w:t>
        <w:br/>
        <w:br/>
        <w:t>Tasa de Reporte Real = (Emails maliciosos reportados por empleados) / (Total de emails maliciosos) × 100%</w:t>
        <w:br/>
        <w:t>(Idealmente &gt;50% en 6 meses post-training)</w:t>
        <w:br/>
        <w:br/>
        <w:t>ROI de Capacitación = (Incidentes prevenidos × costo promedio incidente) / (Costo de capacitación)</w:t>
        <w:br/>
        <w:t>(Típicamente 5:1 a 10:1 después de 18 meses)</w:t>
        <w:br/>
      </w:r>
    </w:p>
    <w:p>
      <w:pPr>
        <w:pStyle w:val="Heading3"/>
        <w:keepNext/>
        <w:keepLines/>
      </w:pPr>
      <w:r>
        <w:t>5.5 Dominio Cumplimiento Normativo (NORM)</w:t>
      </w:r>
    </w:p>
    <w:p>
      <w:r>
        <w:rPr>
          <w:b/>
        </w:rPr>
        <w:t>Propósito:</w:t>
      </w:r>
      <w:r>
        <w:t xml:space="preserve"> Evaluar alineación con NIS2, ISO 27001, GDPR.</w:t>
      </w:r>
    </w:p>
    <w:p>
      <w:r>
        <w:rPr>
          <w:b/>
        </w:rPr>
        <w:t>Mapeo a requisitos: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NIS2 Entidades Esenciales - 21 medidas obligatorias:</w:t>
        <w:br/>
        <w:t>✓ Análisis de riesgos</w:t>
        <w:br/>
        <w:t>✓ Medidas de seguridad (técnicas y organizacionales)</w:t>
        <w:br/>
        <w:t>✓ Gestión de incidentes (24h inicial, 72h notificación)</w:t>
        <w:br/>
        <w:t>✓ Continuidad (RTO/RPO definidos)</w:t>
        <w:br/>
        <w:t>✓ Capacitación de altos dirigentes</w:t>
        <w:br/>
        <w:br/>
        <w:t>ISO 27001 - 93 controles a seleccionar según riesgo:</w:t>
        <w:br/>
        <w:t>✓ A.5: Controles de gobernanza</w:t>
        <w:br/>
        <w:t>✓ A.6: Personas y gestión de acceso</w:t>
        <w:br/>
        <w:t>✓ A.7: Procesos y políticas</w:t>
        <w:br/>
        <w:t>✓ A.8: Gestión de proveedores</w:t>
        <w:br/>
        <w:t>✓ Otros 45+ controles según riesgo</w:t>
        <w:br/>
        <w:br/>
        <w:t>GDPR (Art. 32-34):</w:t>
        <w:br/>
        <w:t>✓ Medidas técnicas y organizacionales</w:t>
        <w:br/>
        <w:t>✓ Notificación de violaciones (&lt;72h)</w:t>
        <w:br/>
        <w:t>✓ Evaluación de impacto (DPIA)</w:t>
        <w:br/>
      </w:r>
    </w:p>
    <w:p>
      <w:pPr>
        <w:pStyle w:val="Heading2"/>
        <w:keepNext/>
        <w:keepLines/>
      </w:pPr>
      <w:r>
        <w:rPr>
          <w:color w:val="0066CC"/>
        </w:rPr>
        <w:t>6. INTERPRETACIÓN DE RESULTADOS</w:t>
      </w:r>
    </w:p>
    <w:p>
      <w:pPr>
        <w:pStyle w:val="Heading3"/>
        <w:keepNext/>
        <w:keepLines/>
      </w:pPr>
      <w:r>
        <w:t>6.1 Clasificación de Organizaciones</w:t>
      </w:r>
    </w:p>
    <w:p>
      <w:r>
        <w:t>Basado en IGM (Índice Global de Madurez):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Tier 1 - EMERGENTE (IGM &lt; 1.5)</w:t>
        <w:br/>
        <w:t>- Riesgos: No cuantificados</w:t>
        <w:br/>
        <w:t>- Procesos: Inexistentes o ad hoc</w:t>
        <w:br/>
        <w:t>- Automatización: Nula</w:t>
        <w:br/>
        <w:t>- Acción inmediata: Implementación de governance básico</w:t>
        <w:br/>
        <w:t>- Horizonte: 24 meses para Tier 2</w:t>
        <w:br/>
        <w:br/>
        <w:t>Tier 2 - BÁSICO (IGM 1.5 - 2.5)</w:t>
        <w:br/>
        <w:t>- Riesgos: Identificados cualitativamente</w:t>
        <w:br/>
        <w:t>- Procesos: Documentados, ejecución manual</w:t>
        <w:br/>
        <w:t>- Automatización: Herramientas aisladas</w:t>
        <w:br/>
        <w:t>- Acción: Consolidación de marcos (ISO 27001)</w:t>
        <w:br/>
        <w:t>- Horizonte: 18-24 meses para Tier 3</w:t>
        <w:br/>
        <w:br/>
        <w:t>Tier 3 - ESTABLECIDO (IGM 2.5 - 3.5)</w:t>
        <w:br/>
        <w:t>- Riesgos: Parcialmente cuantificados</w:t>
        <w:br/>
        <w:t>- Procesos: Documentados e implementados</w:t>
        <w:br/>
        <w:t>- Automatización: SIEM, escaneo de vuln, ITSM</w:t>
        <w:br/>
        <w:t>- Acción: Integración de sistemas, métricas avanzadas</w:t>
        <w:br/>
        <w:t>- Horizonte: 12-18 meses para Tier 4</w:t>
        <w:br/>
        <w:br/>
        <w:t>Tier 4 - GESTIONADO (IGM 3.5 - 4.5)</w:t>
        <w:br/>
        <w:t>- Riesgos: Cuantificados con FAIR/AVRQ</w:t>
        <w:br/>
        <w:t>- Procesos: Medidos y optimizados</w:t>
        <w:br/>
        <w:t>- Automatización: Workflows, SOAR, IA básico</w:t>
        <w:br/>
        <w:t>- Acción: Optimización de alertas, predicción de amenazas</w:t>
        <w:br/>
        <w:t>- Horizonte: 12+ meses para Tier 5</w:t>
        <w:br/>
        <w:br/>
        <w:t>Tier 5 - OPTIMIZADO (IGM &gt; 4.5)</w:t>
        <w:br/>
        <w:t>- Riesgos: Cuantificados continuamente, modelado predictivo</w:t>
        <w:br/>
        <w:t>- Procesos: Mejora continua con IA/ML</w:t>
        <w:br/>
        <w:t>- Automatización: End-to-end, inteligencia adaptativa</w:t>
        <w:br/>
        <w:t>- Acción: Investigación, innovación, thought leadership</w:t>
        <w:br/>
      </w:r>
    </w:p>
    <w:p>
      <w:pPr>
        <w:pStyle w:val="Heading3"/>
        <w:keepNext/>
        <w:keepLines/>
      </w:pPr>
      <w:r>
        <w:t>6.2 Análisis de Brechas Críticas</w:t>
      </w:r>
    </w:p>
    <w:p>
      <w:r>
        <w:t>Para cada brecha identificada, se calcula: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Criticidad = Brecha × Impacto Potencial × Exposición Regulatoria</w:t>
        <w:br/>
        <w:br/>
        <w:t>Donde:</w:t>
        <w:br/>
        <w:t>- Brecha: diferencia entre actual y objetivo (0-1.0)</w:t>
        <w:br/>
        <w:t>- Impacto Potencial: valor en riesgo (€)</w:t>
        <w:br/>
        <w:t>- Exposición Regulatoria: multa máxima NIS2/GDPR (€)</w:t>
        <w:br/>
        <w:br/>
        <w:t>Prioridades:</w:t>
        <w:br/>
        <w:t>1. Criticidad &gt; 0.7 → Acción inmediata (&lt;3 meses)</w:t>
        <w:br/>
        <w:t>2. Criticidad 0.5-0.7 → Acción corto plazo (3-6 meses)</w:t>
        <w:br/>
        <w:t>3. Criticidad 0.3-0.5 → Acción medio plazo (6-12 meses)</w:t>
        <w:br/>
        <w:t>4. Criticidad &lt; 0.3 → Acción largo plazo (&gt;12 meses)</w:t>
        <w:br/>
      </w:r>
    </w:p>
    <w:p>
      <w:pPr>
        <w:pStyle w:val="Heading2"/>
        <w:keepNext/>
        <w:keepLines/>
      </w:pPr>
      <w:r>
        <w:rPr>
          <w:color w:val="0066CC"/>
        </w:rPr>
        <w:t>7. BENCHMARKING COMPARATIVO</w:t>
      </w:r>
    </w:p>
    <w:p>
      <w:pPr>
        <w:pStyle w:val="Heading3"/>
        <w:keepNext/>
        <w:keepLines/>
      </w:pPr>
      <w:r>
        <w:t>7.1 Comparación con Pares Sectoriales</w:t>
      </w:r>
    </w:p>
    <w:p>
      <w:r>
        <w:t>Los resultados se comparan con medianas de sector: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Sector Financiero (Benchmarks España 2024):</w:t>
        <w:br/>
        <w:t>- IGM mediano: 3.2</w:t>
        <w:br/>
        <w:t>- Dominio GR: 3.8 (gestión de riesgos avanzada)</w:t>
        <w:br/>
        <w:t>- Dominio SIEM: 3.5 (SOC requerido regulatoriamente)</w:t>
        <w:br/>
        <w:t>- Dominio CAP: 3.0 (capacitación regulada)</w:t>
        <w:br/>
        <w:br/>
        <w:t>Sector Sanidad (Benchmarks España 2024):</w:t>
        <w:br/>
        <w:t>- IGM mediano: 2.8</w:t>
        <w:br/>
        <w:t>- Dominio CTRL: 2.5 (infraestructura legacy)</w:t>
        <w:br/>
        <w:t>- Dominio CAP: 2.2 (personal médico vs TI)</w:t>
        <w:br/>
        <w:t>- Dominio SIEM: 2.3 (inversión insuficiente)</w:t>
        <w:br/>
        <w:br/>
        <w:t>Administración Pública (Benchmarks España 2024):</w:t>
        <w:br/>
        <w:t>- IGM mediano: 2.5</w:t>
        <w:br/>
        <w:t>- Dominio NORM: 3.5 (requisitos NIS2)</w:t>
        <w:br/>
        <w:t>- Dominio GR: 2.0 (toma de decisiones centralizada)</w:t>
        <w:br/>
        <w:t>- Dominio CAP: 2.1 (rotación de personal)</w:t>
        <w:br/>
      </w:r>
    </w:p>
    <w:p>
      <w:pPr>
        <w:pStyle w:val="Heading2"/>
        <w:keepNext/>
        <w:keepLines/>
      </w:pPr>
      <w:r>
        <w:rPr>
          <w:color w:val="0066CC"/>
        </w:rPr>
        <w:t>8. GENERACIÓN DE RECOMENDACIONES</w:t>
      </w:r>
    </w:p>
    <w:p>
      <w:pPr>
        <w:pStyle w:val="Heading3"/>
        <w:keepNext/>
        <w:keepLines/>
      </w:pPr>
      <w:r>
        <w:t>8.1 Matriz de Recomendaciones</w:t>
      </w:r>
    </w:p>
    <w:p>
      <w:r>
        <w:t>Cada brecha genera recomendaciones basadas en: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Prioridad × Complejidad × Costo × Impacto = Score de Recomendación</w:t>
        <w:br/>
        <w:br/>
        <w:t>Recomendaciones de Alto Score se implementan primero.</w:t>
        <w:br/>
        <w:br/>
        <w:t>Ejemplo:</w:t>
        <w:br/>
        <w:t>- Implementar SIEM: Prioridad 0.9 × Complejidad 0.7 × Costo 0.6 × Impacto 0.8 = 0.30</w:t>
        <w:br/>
        <w:t>- Mejorar MFA: Prioridad 0.85 × Complejidad 0.3 × Costo 0.7 × Impacto 0.6 = 0.11</w:t>
        <w:br/>
        <w:t>- Capacitación phishing: Prioridad 0.7 × Complejidad 0.2 × Costo 0.3 × Impacto 0.5 = 0.02</w:t>
        <w:br/>
        <w:br/>
        <w:t>Orden: SIEM &gt; MFA &gt; Capacitación</w:t>
        <w:br/>
      </w:r>
    </w:p>
    <w:p>
      <w:pPr>
        <w:pStyle w:val="Heading3"/>
        <w:keepNext/>
        <w:keepLines/>
      </w:pPr>
      <w:r>
        <w:t>8.2 Plan de Acción Personalizado</w:t>
      </w:r>
    </w:p>
    <w:p>
      <w:r>
        <w:t>Se genera roadmap con:</w:t>
      </w:r>
      <w:r/>
      <w:r>
        <w:br/>
        <w:t>- Hitos a 3, 6, 12, 24 meses</w:t>
      </w:r>
      <w:r/>
      <w:r>
        <w:br/>
        <w:t>- Inversión estimada por fase</w:t>
      </w:r>
      <w:r/>
      <w:r>
        <w:br/>
        <w:t>- Responsables y dependencias</w:t>
      </w:r>
      <w:r/>
      <w:r>
        <w:br/>
        <w:t>- Métricas de éxito</w:t>
      </w:r>
      <w:r/>
      <w:r>
        <w:br/>
        <w:t>- Riesgos de implementación</w:t>
      </w:r>
    </w:p>
    <w:p>
      <w:pPr>
        <w:pStyle w:val="Heading2"/>
        <w:keepNext/>
        <w:keepLines/>
      </w:pPr>
      <w:r>
        <w:rPr>
          <w:color w:val="0066CC"/>
        </w:rPr>
        <w:t>9. NOTAS TÉCNICAS Y LIMITACIONES</w:t>
      </w:r>
    </w:p>
    <w:p>
      <w:pPr>
        <w:pStyle w:val="Heading3"/>
        <w:keepNext/>
        <w:keepLines/>
      </w:pPr>
      <w:r>
        <w:t>9.1 Validez Estadística</w:t>
      </w:r>
    </w:p>
    <w:p>
      <w:pPr>
        <w:pStyle w:val="ListBullet"/>
        <w:keepLines w:val="1"/>
        <w:keepNext w:val="1"/>
        <w:widowControl w:val="1"/>
      </w:pPr>
      <w:r>
        <w:t>Confiabilidad: ±0.3 puntos (IC 95%)</w:t>
      </w:r>
    </w:p>
    <w:p>
      <w:pPr>
        <w:pStyle w:val="ListBullet"/>
        <w:keepLines w:val="1"/>
        <w:keepNext w:val="1"/>
        <w:widowControl w:val="1"/>
      </w:pPr>
      <w:r>
        <w:t>Sensibilidad: Cambios &gt;0.5 puntos son significativos</w:t>
      </w:r>
    </w:p>
    <w:p>
      <w:pPr>
        <w:pStyle w:val="ListBullet"/>
        <w:keepLines w:val="1"/>
        <w:widowControl w:val="1"/>
      </w:pPr>
      <w:r>
        <w:t>Sesgo: Respuestas propensas a optimismo (+0.2-0.3 puntos)</w:t>
      </w:r>
    </w:p>
    <w:p>
      <w:pPr>
        <w:pStyle w:val="Heading3"/>
        <w:keepNext/>
        <w:keepLines/>
      </w:pPr>
      <w:r>
        <w:t>9.2 Actualización Recomendada</w:t>
      </w:r>
    </w:p>
    <w:p>
      <w:pPr>
        <w:pStyle w:val="ListBullet"/>
        <w:keepLines w:val="1"/>
        <w:keepNext w:val="1"/>
        <w:widowControl w:val="1"/>
      </w:pPr>
      <w:r>
        <w:t>Trimestral para dominios críticos (GR, SIEM, NORM)</w:t>
      </w:r>
    </w:p>
    <w:p>
      <w:pPr>
        <w:pStyle w:val="ListBullet"/>
        <w:keepLines w:val="1"/>
        <w:keepNext w:val="1"/>
        <w:widowControl w:val="1"/>
      </w:pPr>
      <w:r>
        <w:t>Anual para dominios operacionales</w:t>
      </w:r>
    </w:p>
    <w:p>
      <w:pPr>
        <w:pStyle w:val="ListBullet"/>
        <w:keepLines w:val="1"/>
        <w:widowControl w:val="1"/>
      </w:pPr>
      <w:r>
        <w:t>Post-incidente para refinación</w:t>
      </w:r>
    </w:p>
    <w:p>
      <w:r>
        <w:rPr>
          <w:b/>
        </w:rPr>
        <w:t>Fin de Guía Metodológica</w:t>
      </w:r>
      <w:r/>
      <w:r>
        <w:br/>
      </w:r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