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CÁLCULO: EXCEL IGM, ROI Y CUADRO DE MANDO</w:t>
      </w:r>
    </w:p>
    <w:p>
      <w:pPr>
        <w:pStyle w:val="Heading2"/>
        <w:keepNext/>
        <w:keepLines/>
      </w:pPr>
      <w:r>
        <w:rPr>
          <w:color w:val="0066CC"/>
        </w:rPr>
        <w:t>Especificaciones para Implementación en Hoja de Cálculo</w:t>
      </w:r>
    </w:p>
    <w:p>
      <w:pPr>
        <w:pStyle w:val="Heading2"/>
        <w:keepNext/>
        <w:keepLines/>
      </w:pPr>
      <w:r>
        <w:rPr>
          <w:color w:val="0066CC"/>
        </w:rPr>
        <w:t>VISIÓN GENERAL</w:t>
      </w:r>
    </w:p>
    <w:p>
      <w:r>
        <w:t>Esta plantilla implementa en Excel el cálculo integral de:</w:t>
      </w:r>
      <w:r/>
      <w:r>
        <w:br/>
        <w:t xml:space="preserve">- </w:t>
      </w:r>
      <w:r>
        <w:rPr>
          <w:b/>
        </w:rPr>
        <w:t>IGM</w:t>
      </w:r>
      <w:r>
        <w:t xml:space="preserve"> (Índice Global de Madurez) de 0-5</w:t>
      </w:r>
      <w:r/>
      <w:r>
        <w:br/>
        <w:t xml:space="preserve">- </w:t>
      </w:r>
      <w:r>
        <w:rPr>
          <w:b/>
        </w:rPr>
        <w:t>PD</w:t>
      </w:r>
      <w:r>
        <w:t xml:space="preserve"> (Puntuación por Dominio) de 0-1</w:t>
      </w:r>
      <w:r/>
      <w:r>
        <w:br/>
        <w:t xml:space="preserve">- </w:t>
      </w:r>
      <w:r>
        <w:rPr>
          <w:b/>
        </w:rPr>
        <w:t>NIM</w:t>
      </w:r>
      <w:r>
        <w:t xml:space="preserve"> (Índice NIST CSF) de 1-6</w:t>
      </w:r>
      <w:r/>
      <w:r>
        <w:br/>
        <w:t xml:space="preserve">- </w:t>
      </w:r>
      <w:r>
        <w:rPr>
          <w:b/>
        </w:rPr>
        <w:t>ICN</w:t>
      </w:r>
      <w:r>
        <w:t xml:space="preserve"> (Índice Conformidad Normativa) %</w:t>
      </w:r>
      <w:r/>
      <w:r>
        <w:br/>
        <w:t xml:space="preserve">- </w:t>
      </w:r>
      <w:r>
        <w:rPr>
          <w:b/>
        </w:rPr>
        <w:t>ROICS</w:t>
      </w:r>
      <w:r>
        <w:t xml:space="preserve"> (Retorno sobre Inversión en Ciberseguridad) %</w:t>
      </w:r>
      <w:r/>
      <w:r>
        <w:br/>
        <w:t xml:space="preserve">- </w:t>
      </w:r>
      <w:r>
        <w:rPr>
          <w:b/>
        </w:rPr>
        <w:t>Dashboard visual</w:t>
      </w:r>
      <w:r>
        <w:t xml:space="preserve"> de brechas y recomendaciones</w:t>
      </w:r>
    </w:p>
    <w:p>
      <w:pPr>
        <w:pStyle w:val="Heading2"/>
        <w:keepNext/>
        <w:keepLines/>
      </w:pPr>
      <w:r>
        <w:rPr>
          <w:color w:val="0066CC"/>
        </w:rPr>
        <w:t>HOJA 1: ENTRADA DE DATOS (RAW_SURVEY_DATA)</w:t>
      </w:r>
    </w:p>
    <w:p>
      <w:pPr>
        <w:pStyle w:val="Heading3"/>
        <w:keepNext/>
        <w:keepLines/>
      </w:pPr>
      <w:r>
        <w:t>Estructura de Columnas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A: Identificador Pregunta (P2.1, P2.2, ... P11.2)</w:t>
        <w:br/>
        <w:t>Columna B: Sección (Gobernanza, Vulnerabilidades, etc.)</w:t>
        <w:br/>
        <w:t>Columna C: Descripción breve pregunta</w:t>
        <w:br/>
        <w:t>Columna D: Respuesta Numérica (1-5)</w:t>
        <w:br/>
        <w:t>Columna E: Confianza de Respuesta (%) [Opcional: 0-100]</w:t>
        <w:br/>
        <w:t>Columna F: Notas del Respondente</w:t>
        <w:br/>
        <w:t>Columna G: Dominio (GR, VUL, PEN, SIEM, CAP, NORM, CONT, SUPL, CTRL, INT)</w:t>
        <w:br/>
        <w:t>Columna H: Peso del Dominio (%)</w:t>
        <w:br/>
      </w:r>
    </w:p>
    <w:p>
      <w:pPr>
        <w:pStyle w:val="Heading3"/>
        <w:keepNext/>
        <w:keepLines/>
      </w:pPr>
      <w:r>
        <w:t>Ejemplo de Tabla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Pregunta | Sección | Descripción | Respuesta | Confianza | Notas | Dominio | Peso |</w:t>
        <w:br/>
        <w:t>|----------|---------|-------------|-----------|-----------|-------|---------|------|</w:t>
        <w:br/>
        <w:t>| P2.1 | Gestión Riesgos | Metodología formal análisis riesgos | 3 | 85% | Tenemos ISO 27005 documentado | GR | 20% |</w:t>
        <w:br/>
        <w:t>| P2.2 | Gestión Riesgos | Cuantificación AVRQ/FAIR | 2 | 70% | Parcial, métrica manual | GR | 20% |</w:t>
        <w:br/>
        <w:t>| P2.3 | Gestión Riesgos | Planes de tratamiento | 3 | 90% | Todos los críticos | GR | 20% |</w:t>
        <w:br/>
        <w:t>| P3.1 | Vulnerabilidades | Escaneo de vulnerabilidades | 4 | 95% | Semanal automatizado | VUL | 15% |</w:t>
        <w:br/>
        <w:t>| P3.2 | Vulnerabilidades | Priorización CVSS | 4 | 80% | Pero no EPSS | VUL | 15% |</w:t>
        <w:br/>
        <w:t>| ... | ... | ... | ... | ... | ... | ... | ... |</w:t>
        <w:br/>
      </w:r>
    </w:p>
    <w:p>
      <w:pPr>
        <w:pStyle w:val="Heading2"/>
        <w:keepNext/>
        <w:keepLines/>
      </w:pPr>
      <w:r>
        <w:rPr>
          <w:color w:val="0066CC"/>
        </w:rPr>
        <w:t>HOJA 2: CÁLCULOS_IGM</w:t>
      </w:r>
    </w:p>
    <w:p>
      <w:pPr>
        <w:pStyle w:val="Heading3"/>
        <w:keepNext/>
        <w:keepLines/>
      </w:pPr>
      <w:r>
        <w:t>Sección 2.1: Promedios por Dominio</w:t>
      </w:r>
    </w:p>
    <w:p>
      <w:r>
        <w:rPr>
          <w:b/>
        </w:rPr>
        <w:t>Rango: A1:L15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| Preguntas Incluidas | Nº Preguntas | Suma Respuestas | Promedio (0-1) | Comentario</w:t>
        <w:br/>
        <w:t>--------|-------------------|--------------|-----------------|----------------|----------</w:t>
        <w:br/>
        <w:t>GR | P2.1, P2.2, P2.3 | 3 | 8 | 0.533 | Parcial</w:t>
        <w:br/>
        <w:t>VUL | P3.1, P3.2, P3.3 | 3 | 11 | 0.733 | Bueno</w:t>
        <w:br/>
        <w:t>PEN | P4.1, P4.2 | 2 | 7 | 0.700 | Bueno</w:t>
        <w:br/>
        <w:t>SIEM | P5.1, P5.2, P5.3 | 3 | 10 | 0.667 | Aceptable</w:t>
        <w:br/>
        <w:t>... | ... | ... | ... | ... | ...</w:t>
        <w:br/>
      </w:r>
    </w:p>
    <w:p>
      <w:r>
        <w:rPr>
          <w:b/>
        </w:rPr>
        <w:t>Fórmula para Promedio Dominio: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=PROMEDIO([Respuestas en Dominio])/5</w:t>
        <w:br/>
      </w:r>
    </w:p>
    <w:p>
      <w:r>
        <w:t>Ejemplo para GR (asumiendo respuestas en D2:D4):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=PROMEDIO(D2:D4)/5</w:t>
        <w:br/>
      </w:r>
    </w:p>
    <w:p>
      <w:pPr>
        <w:pStyle w:val="Heading3"/>
        <w:keepNext/>
        <w:keepLines/>
      </w:pPr>
      <w:r>
        <w:t>Sección 2.2: Cálculo de IGM</w:t>
      </w:r>
    </w:p>
    <w:p>
      <w:r>
        <w:rPr>
          <w:b/>
        </w:rPr>
        <w:t>Celda B2 (IGM Final)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=SUMAPRODUCTO(Promedios_Dominios, Pesos_Dominios) / 5</w:t>
        <w:br/>
      </w:r>
    </w:p>
    <w:p>
      <w:r>
        <w:t>Desglosado: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=(A5*0.20 + B5*0.15 + C5*0.10 + D5*0.15 + E5*0.10 + F5*0.10 + G5*0.05 + H5*0.05 + I5*0.10 + J5*0.05) / 5</w:t>
        <w:br/>
      </w:r>
    </w:p>
    <w:p>
      <w:r>
        <w:t>Donde:</w:t>
      </w:r>
      <w:r/>
      <w:r>
        <w:br/>
        <w:t>- A5 = Promedio GR (Gobernanza)</w:t>
      </w:r>
      <w:r/>
      <w:r>
        <w:br/>
        <w:t>- B5 = Promedio VUL (Vulnerabilidades)</w:t>
      </w:r>
      <w:r/>
      <w:r>
        <w:br/>
        <w:t>- C5 = Promedio PEN (Penetración)</w:t>
      </w:r>
      <w:r/>
      <w:r>
        <w:br/>
        <w:t>- D5 = Promedio SIEM</w:t>
      </w:r>
      <w:r/>
      <w:r>
        <w:br/>
        <w:t>- E5 = Promedio CAP (Capacitación)</w:t>
      </w:r>
      <w:r/>
      <w:r>
        <w:br/>
        <w:t>- F5 = Promedio NORM (Normativa)</w:t>
      </w:r>
      <w:r/>
      <w:r>
        <w:br/>
        <w:t>- G5 = Promedio CONT (Continuidad)</w:t>
      </w:r>
      <w:r/>
      <w:r>
        <w:br/>
        <w:t>- H5 = Promedio SUPL (Suministro)</w:t>
      </w:r>
      <w:r/>
      <w:r>
        <w:br/>
        <w:t>- I5 = Promedio CTRL (Controles)</w:t>
      </w:r>
      <w:r/>
      <w:r>
        <w:br/>
        <w:t>- J5 = Promedio INT (Inteligencia)</w:t>
      </w:r>
      <w:r/>
      <w:r>
        <w:br/>
        <w:t>- 0.20, 0.15, ... = Pesos respectivos</w:t>
      </w:r>
      <w:r/>
      <w:r>
        <w:br/>
        <w:t>- /5 = Normalización a escala 0-5</w:t>
      </w:r>
    </w:p>
    <w:p>
      <w:pPr>
        <w:pStyle w:val="Heading3"/>
        <w:keepNext/>
        <w:keepLines/>
      </w:pPr>
      <w:r>
        <w:t>Sección 2.3: Cálculo de NIM (NIST CSF)</w:t>
      </w:r>
    </w:p>
    <w:p>
      <w:r>
        <w:rPr>
          <w:b/>
        </w:rPr>
        <w:t>Celda B3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=IGM * 6</w:t>
        <w:br/>
      </w:r>
    </w:p>
    <w:p>
      <w:r>
        <w:t>Donde:</w:t>
      </w:r>
      <w:r/>
      <w:r>
        <w:br/>
        <w:t>- Resultado 1.0-1.2 → Nivel 1 (Incomplete)</w:t>
      </w:r>
      <w:r/>
      <w:r>
        <w:br/>
        <w:t>- Resultado 1.2-2.4 → Nivel 2 (Managed)</w:t>
      </w:r>
      <w:r/>
      <w:r>
        <w:br/>
        <w:t>- Resultado 2.4-3.6 → Nivel 3 (Defined)</w:t>
      </w:r>
      <w:r/>
      <w:r>
        <w:br/>
        <w:t>- Resultado 3.6-4.8 → Nivel 4 (Quantitatively Managed)</w:t>
      </w:r>
      <w:r/>
      <w:r>
        <w:br/>
        <w:t>- Resultado 4.8+ → Nivel 5/6 (Optimized)</w:t>
      </w:r>
    </w:p>
    <w:p>
      <w:r>
        <w:rPr>
          <w:b/>
        </w:rPr>
        <w:t>Fórmula de Conversión Automática (Celda B4):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=SI(B3&lt;=1.2,"Nivel 1: Incomplete",SI(B3&lt;=2.4,"Nivel 2: Managed",SI(B3&lt;=3.6,"Nivel 3: Defined",SI(B3&lt;=4.8,"Nivel 4: Quantitatively Managed","Nivel 5/6: Optimized"))))</w:t>
        <w:br/>
      </w:r>
    </w:p>
    <w:p>
      <w:pPr>
        <w:pStyle w:val="Heading3"/>
        <w:keepNext/>
        <w:keepLines/>
      </w:pPr>
      <w:r>
        <w:t>Sección 2.4: Cálculo de ICN (Índice Conformidad Normativa)</w:t>
      </w:r>
    </w:p>
    <w:p>
      <w:r>
        <w:rPr>
          <w:b/>
        </w:rPr>
        <w:t>Celda B5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=Promedio_NORM * 100</w:t>
        <w:br/>
      </w:r>
    </w:p>
    <w:p>
      <w:r>
        <w:t>Donde Promedio_NORM es la puntuación ponderada del dominio "Cumplimiento Normativo".</w:t>
      </w:r>
    </w:p>
    <w:p>
      <w:r>
        <w:rPr>
          <w:b/>
        </w:rPr>
        <w:t>Interpretación: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 ICN &gt;= 80% → "CONFORME"</w:t>
        <w:br/>
        <w:t>Si ICN 60-79% → "PARCIALMENTE CONFORME"</w:t>
        <w:br/>
        <w:t>Si ICN &lt; 60% → "NO CONFORME"</w:t>
        <w:br/>
      </w:r>
    </w:p>
    <w:p>
      <w:r>
        <w:rPr>
          <w:b/>
        </w:rPr>
        <w:t>Fórmula de Clasificación (Celda B6):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=SI(B5&gt;=80,"CONFORME",SI(B5&gt;=60,"PARCIALMENTE CONFORME","NO CONFORME"))</w:t>
        <w:br/>
      </w:r>
    </w:p>
    <w:p>
      <w:pPr>
        <w:pStyle w:val="Heading2"/>
        <w:keepNext/>
        <w:keepLines/>
      </w:pPr>
      <w:r>
        <w:rPr>
          <w:color w:val="0066CC"/>
        </w:rPr>
        <w:t>HOJA 3: CÁLCULOS_ROI</w:t>
      </w:r>
    </w:p>
    <w:p>
      <w:pPr>
        <w:pStyle w:val="Heading3"/>
        <w:keepNext/>
        <w:keepLines/>
      </w:pPr>
      <w:r>
        <w:t>Sección 3.1: Análisis de Inversiones de Ciberseguridad</w:t>
      </w:r>
    </w:p>
    <w:p>
      <w:r>
        <w:rPr>
          <w:b/>
        </w:rPr>
        <w:t>Tabla: Análisis Inversión Actual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Categoría | Inversión Año 1 | Inversión Año 2 | Inversión Año 3 | Total 3 Años |</w:t>
        <w:br/>
        <w:t>|-----------|-----------------|-----------------|-----------------|--------------|</w:t>
        <w:br/>
        <w:t>| Infraestructura (SIEM, firewalls, EDR) | €150,000 | €180,000 | €200,000 | €530,000 |</w:t>
        <w:br/>
        <w:t>| Herramientas (escaneo, SOAR, etc.) | €50,000 | €60,000 | €70,000 | €180,000 |</w:t>
        <w:br/>
        <w:t>| Personal (CISO, analistas, ingenieros) | €300,000 | €330,000 | €360,000 | €990,000 |</w:t>
        <w:br/>
        <w:t>| Capacitación y servicios profesionales | €30,000 | €40,000 | €50,000 | €120,000 |</w:t>
        <w:br/>
        <w:t>| Operación y mantenimiento | €80,000 | €100,000 | €120,000 | €300,000 |</w:t>
        <w:br/>
        <w:t>| **TOTAL INVERSIÓN** | **€610,000** | **€710,000** | **€800,000** | **€2,120,000** |</w:t>
        <w:br/>
      </w:r>
    </w:p>
    <w:p>
      <w:r>
        <w:rPr>
          <w:b/>
        </w:rPr>
        <w:t>Fórmula Excel (Celda E3):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=SUMA(B3:D3)</w:t>
        <w:br/>
      </w:r>
    </w:p>
    <w:p>
      <w:pPr>
        <w:pStyle w:val="Heading3"/>
        <w:keepNext/>
        <w:keepLines/>
      </w:pPr>
      <w:r>
        <w:t>Sección 3.2: Cuantificación de Riesgos Mitigados (Metodología Mercury AVRQ)</w:t>
      </w:r>
    </w:p>
    <w:p>
      <w:r>
        <w:rPr>
          <w:b/>
        </w:rPr>
        <w:t>Tabla: Activos Críticos y Valoración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Activo | Valor (€) | Probabilidad Incidente (%) | Impacto Potencial (€) | AVRQ Score (0-1) | Riesgo Residual (€) |</w:t>
        <w:br/>
        <w:t>|--------|-----------|---------------------------|----------------------|-------------------|---------------------|</w:t>
        <w:br/>
        <w:t>| Sistemas de Pago | €10,000,000 | 5% | €2,000,000 | 0.3 | €600,000 |</w:t>
        <w:br/>
        <w:t>| Base de Datos Clientes | €5,000,000 | 8% | €1,500,000 | 0.4 | €600,000 |</w:t>
        <w:br/>
        <w:t>| Servidor de Email | €2,000,000 | 10% | €500,000 | 0.5 | €250,000 |</w:t>
        <w:br/>
        <w:t>| **TOTAL VALOR PROTEGIDO** | **€17,000,000** | | | | **€1,450,000** |</w:t>
        <w:br/>
      </w:r>
    </w:p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Residual = Valor × Probabilidad × (1 - AVRQ Score)</w:t>
        <w:br/>
        <w:br/>
        <w:t>Ejemplo (Celda F3):</w:t>
        <w:br/>
        <w:t>=B3*C3*(1-E3)</w:t>
        <w:br/>
      </w:r>
    </w:p>
    <w:p>
      <w:pPr>
        <w:pStyle w:val="Heading3"/>
        <w:keepNext/>
        <w:keepLines/>
      </w:pPr>
      <w:r>
        <w:t>Sección 3.3: Beneficios Cuantificados (3 años)</w:t>
      </w:r>
    </w:p>
    <w:p>
      <w:r>
        <w:rPr>
          <w:b/>
        </w:rPr>
        <w:t>Tabla: Beneficios por Categoría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Beneficio | Año 1 (€) | Año 2 (€) | Año 3 (€) | Total 3 Años (€) | Justificación |</w:t>
        <w:br/>
        <w:t>|-----------|-----------|-----------|-----------|-------------------|---------------|</w:t>
        <w:br/>
        <w:t>| **Evitar Brechas Críticas** | €400,000 | €500,000 | €600,000 | €1,500,000 | Reducción de riesgo residual |</w:t>
        <w:br/>
        <w:t>| **Mejora MTTR (Reducir downtime)** | €100,000 | €120,000 | €150,000 | €370,000 | Reducción de 8h a 2h: ~€50/hora |</w:t>
        <w:br/>
        <w:t>| **Evitar Multas NIS2** | €500,000 | €1,000,000 | €0 | €1,500,000 | 0.5% × €2B potencial (años 1-2) |</w:t>
        <w:br/>
        <w:t>| **Mejora de Confianza (Clientes)** | €50,000 | €80,000 | €120,000 | €250,000 | Retención de clientes risk-averse |</w:t>
        <w:br/>
        <w:t>| **Reducción de Incidentes (Costo promedio €80K)** | €160,000 | €240,000 | €320,000 | €720,000 | Reducción de 2→1 incidentes/año |</w:t>
        <w:br/>
        <w:t>| **Automatización (reducir personal manual)** | €30,000 | €50,000 | €80,000 | €160,000 | SOAR + automatización procesos |</w:t>
        <w:br/>
        <w:t>| **TOTAL BENEFICIOS** | **€1,240,000** | **€1,990,000** | **€1,270,000** | **€4,500,000** | |</w:t>
        <w:br/>
      </w:r>
    </w:p>
    <w:p>
      <w:r>
        <w:rPr>
          <w:b/>
        </w:rPr>
        <w:t>Fórmula Excel (Celda E8 - Total Beneficios Año 1):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=SUMA(B3:B7)</w:t>
        <w:br/>
      </w:r>
    </w:p>
    <w:p>
      <w:pPr>
        <w:pStyle w:val="Heading3"/>
        <w:keepNext/>
        <w:keepLines/>
      </w:pPr>
      <w:r>
        <w:t>Sección 3.4: Cálculo de ROICS (Return on Investment in Cybersecurity)</w:t>
      </w:r>
    </w:p>
    <w:p>
      <w:r>
        <w:rPr>
          <w:b/>
        </w:rPr>
        <w:t>Celda B10: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=((E8 - E2) / E2) * 100</w:t>
        <w:br/>
      </w:r>
    </w:p>
    <w:p>
      <w:r>
        <w:t>Donde:</w:t>
      </w:r>
      <w:r/>
      <w:r>
        <w:br/>
        <w:t>- E8 = Total Beneficios 3 años (€4,500,000)</w:t>
      </w:r>
      <w:r/>
      <w:r>
        <w:br/>
        <w:t>- E2 = Total Inversión 3 años (€2,120,000)</w:t>
      </w:r>
    </w:p>
    <w:p>
      <w:r>
        <w:rPr>
          <w:b/>
        </w:rPr>
        <w:t>Resultado Esperado: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ROICS = (4,500,000 - 2,120,000) / 2,120,000 × 100 = 112%</w:t>
        <w:br/>
      </w:r>
    </w:p>
    <w:p>
      <w:r>
        <w:rPr>
          <w:b/>
        </w:rPr>
        <w:t>Interpretación: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ROICS &gt; 100% → Excelente (beneficio &gt;costo)</w:t>
        <w:br/>
        <w:t>ROICS 50-100% → Muy bueno</w:t>
        <w:br/>
        <w:t>ROICS 25-50% → Bueno (justificable)</w:t>
        <w:br/>
        <w:t>ROICS 0-25% → Aceptable (beneficio regulatorio)</w:t>
        <w:br/>
        <w:t>ROICS &lt; 0% → Requiere revisión (pérdida financiera)</w:t>
        <w:br/>
      </w:r>
    </w:p>
    <w:p>
      <w:pPr>
        <w:pStyle w:val="Heading3"/>
        <w:keepNext/>
        <w:keepLines/>
      </w:pPr>
      <w:r>
        <w:t>Sección 3.5: Payback Period (Período de Recuperación)</w:t>
      </w:r>
    </w:p>
    <w:p>
      <w:r>
        <w:rPr>
          <w:b/>
        </w:rPr>
        <w:t>Celda B11: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=REDONDEAR(E2 / (E8 / 3), 1)</w:t>
        <w:br/>
      </w:r>
    </w:p>
    <w:p>
      <w:r>
        <w:t>Donde:</w:t>
      </w:r>
      <w:r/>
      <w:r>
        <w:br/>
        <w:t>- E2 = Inversión total 3 años</w:t>
      </w:r>
      <w:r/>
      <w:r>
        <w:br/>
        <w:t>- E8/3 = Beneficio promedio anual</w:t>
      </w:r>
    </w:p>
    <w:p>
      <w:r>
        <w:rPr>
          <w:b/>
        </w:rPr>
        <w:t>Resultado:</w:t>
      </w:r>
      <w:r>
        <w:t xml:space="preserve"> ~1.4 años hasta recuperar inversión</w:t>
      </w:r>
    </w:p>
    <w:p>
      <w:pPr>
        <w:pStyle w:val="Heading2"/>
        <w:keepNext/>
        <w:keepLines/>
      </w:pPr>
      <w:r>
        <w:rPr>
          <w:color w:val="0066CC"/>
        </w:rPr>
        <w:t>HOJA 4: BRECHAS Y RECOMENDACIONES</w:t>
      </w:r>
    </w:p>
    <w:p>
      <w:pPr>
        <w:pStyle w:val="Heading3"/>
        <w:keepNext/>
        <w:keepLines/>
      </w:pPr>
      <w:r>
        <w:t>Sección 4.1: Matriz de Brechas</w:t>
      </w:r>
    </w:p>
    <w:p>
      <w:r>
        <w:rPr>
          <w:b/>
        </w:rPr>
        <w:t>Tabla: Brecha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Dominio | Puntuación Actual | Objetivo (Taget) | Brecha | Peso | Criticidad | Prioridad |</w:t>
        <w:br/>
        <w:t>|---------|-------------------|------------------|--------|------|-----------|-----------|</w:t>
        <w:br/>
        <w:t>| GR | 2.5 | 4.5 | 2.0 | 20% | Alta (NIS2) | **CRÍTICA** |</w:t>
        <w:br/>
        <w:t>| VUL | 3.4 | 4.5 | 1.1 | 15% | Alta (raíz) | **ALTA** |</w:t>
        <w:br/>
        <w:t>| SIEM | 3.0 | 4.5 | 1.5 | 15% | Crítica (EE) | **CRÍTICA** |</w:t>
        <w:br/>
        <w:t>| CAP | 2.8 | 4.0 | 1.2 | 10% | Media | MEDIA |</w:t>
        <w:br/>
        <w:t>| NORM | 2.2 | 4.5 | 2.3 | 10% | Crítica (NIS2) | **CRÍTICA** |</w:t>
        <w:br/>
        <w:t>| CONT | 3.5 | 4.5 | 1.0 | 5% | Media | MEDIA |</w:t>
        <w:br/>
        <w:t>| SUPL | 2.9 | 4.0 | 1.1 | 5% | Media | MEDIA |</w:t>
        <w:br/>
        <w:t>| CTRL | 3.2 | 4.5 | 1.3 | 10% | Alta | **ALTA** |</w:t>
        <w:br/>
        <w:t>| INT | 2.5 | 4.0 | 1.5 | 5% | Media | MEDIA |</w:t>
        <w:br/>
      </w:r>
    </w:p>
    <w:p>
      <w:r>
        <w:rPr>
          <w:b/>
        </w:rPr>
        <w:t>Fórmula Brecha (Celda D2):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=C2-B2</w:t>
        <w:br/>
      </w:r>
    </w:p>
    <w:p>
      <w:r>
        <w:rPr>
          <w:b/>
        </w:rPr>
        <w:t>Fórmula Prioridad (Celda G2):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=D2*E2</w:t>
        <w:br/>
      </w:r>
    </w:p>
    <w:p>
      <w:r>
        <w:t>Ordenar por Prioridad descendente para identificar dominios requieren acción inmediata.</w:t>
      </w:r>
    </w:p>
    <w:p>
      <w:pPr>
        <w:pStyle w:val="Heading3"/>
        <w:keepNext/>
        <w:keepLines/>
      </w:pPr>
      <w:r>
        <w:t>Sección 4.2: Recomendaciones Automáticas</w:t>
      </w:r>
    </w:p>
    <w:p>
      <w:r>
        <w:rPr>
          <w:b/>
        </w:rPr>
        <w:t>Regla: Si Brecha &gt; 1.0 y Criticidad Alta → Recomendación Nivel 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GR (Brecha 2.0):</w:t>
        <w:br/>
        <w:t>✓ Implementar cuantificación AVRQ (Mercury)</w:t>
        <w:br/>
        <w:t>✓ Automatizar cálculo de ROI para inversiones de seguridad</w:t>
        <w:br/>
        <w:t>✓ Establecer gobierno formal con comité de riesgos</w:t>
        <w:br/>
        <w:br/>
        <w:t>Dominio SIEM (Brecha 1.5):</w:t>
        <w:br/>
        <w:t>✓ Desplegar o mejorar SIEM existente</w:t>
        <w:br/>
        <w:t>✓ Tuning de reglas para reducir falsos positivos</w:t>
        <w:br/>
        <w:t>✓ Establecer SLA de MTTR &lt;4h para incidentes críticos</w:t>
        <w:br/>
        <w:br/>
        <w:t>Dominio NORM (Brecha 2.3):</w:t>
        <w:br/>
        <w:t>✓ Iniciar transposición NIS2 (ley entra en vigor Q1 2026)</w:t>
        <w:br/>
        <w:t>✓ Documentar todas las medidas técnicas y organizacionales</w:t>
        <w:br/>
        <w:t>✓ Designar responsable de notificación ante CNCS</w:t>
        <w:br/>
      </w:r>
    </w:p>
    <w:p>
      <w:pPr>
        <w:pStyle w:val="Heading2"/>
        <w:keepNext/>
        <w:keepLines/>
      </w:pPr>
      <w:r>
        <w:rPr>
          <w:color w:val="0066CC"/>
        </w:rPr>
        <w:t>HOJA 5: CUADRO DE MANDO (DASHBOARD)</w:t>
      </w:r>
    </w:p>
    <w:p>
      <w:pPr>
        <w:pStyle w:val="Heading3"/>
        <w:keepNext/>
        <w:keepLines/>
      </w:pPr>
      <w:r>
        <w:t>Sección 5.1: KPIs Principales</w:t>
      </w:r>
    </w:p>
    <w:p>
      <w:r>
        <w:rPr>
          <w:b/>
        </w:rPr>
        <w:t>Tabla Visual (usar gráficos condicionales)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  <w:br/>
        <w:t>│         ÍNDICE GLOBAL DE MADUREZ (IGM)      │</w:t>
        <w:br/>
        <w:t>│                 3.2 / 5.0                   │</w:t>
        <w:br/>
        <w:t>│              [████████░░░░░░░░░] 64%         │</w:t>
        <w:br/>
        <w:t>│           Clasificación: TIER 3 - ESTABLECIDO│</w:t>
        <w:br/>
        <w:t>└─────────────────────────────────────────────┘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┌─────────────────────────────────────────────┐</w:t>
        <w:br/>
        <w:t>│     NIVEL NIST CSF (NIM): 3.2 / 6.0        │</w:t>
        <w:br/>
        <w:t>│   Nivel 3 (Defined) - Procesos Establecidos │</w:t>
        <w:br/>
        <w:t>│  Objetivo: Nivel 4 (Quantitatively Managed) │</w:t>
        <w:br/>
        <w:t>└─────────────────────────────────────────────┘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┌─────────────────────────────────────────────┐</w:t>
        <w:br/>
        <w:t>│  CONFORMIDAD NORMATIVA (ICN): 68% CUMPLIMIENTO│</w:t>
        <w:br/>
        <w:t>│         Clasificación: PARCIALMENTE CONFORME │</w:t>
        <w:br/>
        <w:t>│   Requiere acción antes de Q1 2026 (NIS2)   │</w:t>
        <w:br/>
        <w:t>└─────────────────────────────────────────────┘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┌─────────────────────────────────────────────┐</w:t>
        <w:br/>
        <w:t>│   ROICS (3 años): 112% - EXCELENTE         │</w:t>
        <w:br/>
        <w:t>│  Beneficios: €4.5M | Inversión: €2.1M     │</w:t>
        <w:br/>
        <w:t>│      Payback Period: 1.4 años               │</w:t>
        <w:br/>
        <w:t>└─────────────────────────────────────────────┘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Sección 5.2: Gráfico de Dominios (Radar/Araña)</w:t>
      </w:r>
    </w:p>
    <w:p>
      <w:r>
        <w:rPr>
          <w:b/>
        </w:rPr>
        <w:t>Estructura: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GR     NORM   CONT</w:t>
        <w:br/>
        <w:t xml:space="preserve">          |      |      |</w:t>
        <w:br/>
        <w:t xml:space="preserve">    5.0  ★------★------★</w:t>
        <w:br/>
        <w:t xml:space="preserve">         │      │      │</w:t>
        <w:br/>
        <w:t xml:space="preserve">    4.0 │  ╱────┼────╲  │</w:t>
        <w:br/>
        <w:t xml:space="preserve">        │ ╱     │     ╲ │</w:t>
        <w:br/>
        <w:t xml:space="preserve">    3.0│▓▓ 2.5 │3.0  ▓▓│ SIEM 3.0</w:t>
        <w:br/>
        <w:t xml:space="preserve">       │▓▓     │     ▓▓ │</w:t>
        <w:br/>
        <w:t xml:space="preserve">    2.0│▓▓▓────┼────▓▓▓│ VUL 3.4</w:t>
        <w:br/>
        <w:t xml:space="preserve">       │▓▓▓   │    ▓▓▓  │</w:t>
        <w:br/>
        <w:t xml:space="preserve">    1.0│▓▓▓▓──┼───▓▓▓▓ │</w:t>
        <w:br/>
        <w:t xml:space="preserve">       │▓▓▓▓ │  ▓▓▓▓  │</w:t>
        <w:br/>
        <w:t xml:space="preserve">    0.0 ─────┼─────────</w:t>
        <w:br/>
        <w:t xml:space="preserve">         CAP INT CTRL</w:t>
        <w:br/>
        <w:br/>
        <w:t>Línea interior = Actual</w:t>
        <w:br/>
        <w:t>Línea exterior = Objetivo</w:t>
        <w:br/>
      </w:r>
    </w:p>
    <w:p>
      <w:r>
        <w:rPr>
          <w:b/>
        </w:rPr>
        <w:t>Implementación en Excel:</w:t>
      </w:r>
      <w:r/>
      <w:r>
        <w:br/>
        <w:t>- Usar gráfico Radar con datos de Dominio</w:t>
      </w:r>
      <w:r/>
      <w:r>
        <w:br/>
        <w:t>- Línea 1: Puntuaciones actuales (B2:K2)</w:t>
      </w:r>
      <w:r/>
      <w:r>
        <w:br/>
        <w:t>- Línea 2: Objetivos (B3:K3)</w:t>
      </w:r>
    </w:p>
    <w:p>
      <w:pPr>
        <w:pStyle w:val="Heading3"/>
        <w:keepNext/>
        <w:keepLines/>
      </w:pPr>
      <w:r>
        <w:t>Sección 5.3: Semáforo de Conformidad Regulatoria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 NIS2 Art. 20 (Análisis Riesgos) ───────┐</w:t>
        <w:br/>
        <w:t>│ Status: 🟠 PARCIALMENTE CONFORME      │</w:t>
        <w:br/>
        <w:t>│ Cumple: 70% | Gaps: Cuantificación AVRQ │</w:t>
        <w:br/>
        <w:t>└──────────────────────────────────────────┘</w:t>
        <w:br/>
        <w:br/>
        <w:t>┌─ NIS2 Art. 21 (Medidas Técnicas) ───────┐</w:t>
        <w:br/>
        <w:t>│ Status: 🟢 CONFORME                    │</w:t>
        <w:br/>
        <w:t>│ Cumple: 90% | Gaps: Testing penetración │</w:t>
        <w:br/>
        <w:t>└──────────────────────────────────────────┘</w:t>
        <w:br/>
        <w:br/>
        <w:t>┌─ NIS2 Art. 22 (Capacitación) ──────────┐</w:t>
        <w:br/>
        <w:t>│ Status: 🟠 PARCIALMENTE CONFORME      │</w:t>
        <w:br/>
        <w:t>│ Cumple: 65% | Gaps: Alto dirigentes    │</w:t>
        <w:br/>
        <w:t>└──────────────────────────────────────────┘</w:t>
        <w:br/>
        <w:br/>
        <w:t>┌─ ISO 27001 General ─────────────────────┐</w:t>
        <w:br/>
        <w:t>│ Status: 🟠 PARCIALMENTE CONFORME      │</w:t>
        <w:br/>
        <w:t>│ Cumple: 68% | Objetivo: Certificación   │</w:t>
        <w:br/>
        <w:t>└──────────────────────────────────────────┘</w:t>
        <w:br/>
      </w:r>
    </w:p>
    <w:p>
      <w:r>
        <w:rPr>
          <w:b/>
        </w:rPr>
        <w:t>Codificación Colores 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Status:</w:t>
        <w:br/>
        <w:t>=SI(Conformidad&gt;=80%,"🟢 CONFORME",SI(Conformidad&gt;=60%,"🟠 PARCIALMENTE","🔴 NO CONFORME"))</w:t>
        <w:br/>
      </w:r>
    </w:p>
    <w:p>
      <w:pPr>
        <w:pStyle w:val="Heading3"/>
        <w:keepNext/>
        <w:keepLines/>
      </w:pPr>
      <w:r>
        <w:t>Sección 5.4: Roadmap de 12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(Trimestre 1)</w:t>
        <w:br/>
        <w:t>├─ Acción 1: Implementar AVRQ Mercury [GR]</w:t>
        <w:br/>
        <w:t>├─ Acción 2: Tuning SIEM, reducir FPR [SIEM]</w:t>
        <w:br/>
        <w:t>└─ Recurso: €200K | Crítica NIS2</w:t>
        <w:br/>
        <w:br/>
        <w:t>Q2 2026 (Trimestre 2)</w:t>
        <w:br/>
        <w:t>├─ Acción 1: ISO 27001 formal assessment</w:t>
        <w:br/>
        <w:t>├─ Acción 2: Certificación primera etapa</w:t>
        <w:br/>
        <w:t>└─ Recurso: €150K | Alta impacto</w:t>
        <w:br/>
        <w:br/>
        <w:t>Q3 2026 (Trimestre 3)</w:t>
        <w:br/>
        <w:t>├─ Acción 1: Expandir A.D.A.M. mapeo</w:t>
        <w:br/>
        <w:t>├─ Acción 2: Testing penetración anual</w:t>
        <w:br/>
        <w:t>└─ Recurso: €100K | Operacional</w:t>
        <w:br/>
        <w:br/>
        <w:t>Q4 2026 (Trimestre 4)</w:t>
        <w:br/>
        <w:t>├─ Acción 1: Evaluación de mejora (re-encuesta)</w:t>
        <w:br/>
        <w:t>├─ Acción 2: Planificación 2027</w:t>
        <w:br/>
        <w:t>└─ Recurso: €50K | Evaluación</w:t>
        <w:br/>
      </w:r>
    </w:p>
    <w:p>
      <w:pPr>
        <w:pStyle w:val="Heading2"/>
        <w:keepNext/>
        <w:keepLines/>
      </w:pPr>
      <w:r>
        <w:rPr>
          <w:color w:val="0066CC"/>
        </w:rPr>
        <w:t>VALIDACIONES Y CONTROLES DE CALIDAD</w:t>
      </w:r>
    </w:p>
    <w:p>
      <w:pPr>
        <w:pStyle w:val="Heading3"/>
        <w:keepNext/>
        <w:keepLines/>
      </w:pPr>
      <w:r>
        <w:t>Validación 1: Rango de Respuestas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 Hoja RAW_SURVEY_DATA, Columna D:</w:t>
        <w:br/>
        <w:t>=SI(Y(D2&gt;=1,D2&lt;=5,MOD(D2,1)=0),"✓ Válida","✗ Inválida")</w:t>
        <w:br/>
      </w:r>
    </w:p>
    <w:p>
      <w:r>
        <w:t>Asegura que todas las respuestas estén entre 1-5 y sean enteros.</w:t>
      </w:r>
    </w:p>
    <w:p>
      <w:pPr>
        <w:pStyle w:val="Heading3"/>
        <w:keepNext/>
        <w:keepLines/>
      </w:pPr>
      <w:r>
        <w:t>Validación 2: Completitud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=CONTAR(BLANCO(RAW_SURVEY_DATA!D:D))</w:t>
        <w:br/>
      </w:r>
    </w:p>
    <w:p>
      <w:r>
        <w:t>Si resultado &gt; 0 → Hay preguntas sin respuesta</w:t>
      </w:r>
    </w:p>
    <w:p>
      <w:pPr>
        <w:pStyle w:val="Heading3"/>
        <w:keepNext/>
        <w:keepLines/>
      </w:pPr>
      <w:r>
        <w:t>Validación 3: Consistencia de Pesos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=SUMA(Pesos_Dominios)</w:t>
        <w:br/>
      </w:r>
    </w:p>
    <w:p>
      <w:r>
        <w:t>Debe ser = 100% (1.0 en decimal)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pPr>
        <w:pStyle w:val="ListNumber"/>
        <w:keepLines w:val="1"/>
        <w:keepNext w:val="1"/>
        <w:widowControl w:val="1"/>
      </w:pPr>
      <w:r>
        <w:t>Completar RAW_SURVEY_DATA: Copiar respuestas de encuesta en columna D</w:t>
      </w:r>
    </w:p>
    <w:p>
      <w:pPr>
        <w:pStyle w:val="ListNumber"/>
        <w:keepLines w:val="1"/>
        <w:keepNext w:val="1"/>
        <w:widowControl w:val="1"/>
      </w:pPr>
      <w:r>
        <w:t>Ejecutar CÁLCULOS_IGM: Fórmulas se recalculan automáticamente</w:t>
      </w:r>
    </w:p>
    <w:p>
      <w:pPr>
        <w:pStyle w:val="ListNumber"/>
        <w:keepLines w:val="1"/>
        <w:keepNext w:val="1"/>
        <w:widowControl w:val="1"/>
      </w:pPr>
      <w:r>
        <w:t>Revisar CÁLCULOS_ROI: Ajustar inversiones reales si es necesario</w:t>
      </w:r>
    </w:p>
    <w:p>
      <w:pPr>
        <w:pStyle w:val="ListNumber"/>
        <w:keepLines w:val="1"/>
        <w:keepNext w:val="1"/>
        <w:widowControl w:val="1"/>
      </w:pPr>
      <w:r>
        <w:t>Consultar BRECHAS: Identificar top 3 dominios con mayor prioridad</w:t>
      </w:r>
    </w:p>
    <w:p>
      <w:pPr>
        <w:pStyle w:val="ListNumber"/>
        <w:keepLines w:val="1"/>
        <w:widowControl w:val="1"/>
      </w:pPr>
      <w:r>
        <w:t>Usar DASHBOARD: Mostrar a Junta Directiva para decisiones</w:t>
      </w:r>
    </w:p>
    <w:p>
      <w:pPr>
        <w:pStyle w:val="Heading2"/>
        <w:keepNext/>
        <w:keepLines/>
      </w:pPr>
      <w:r>
        <w:rPr>
          <w:color w:val="0066CC"/>
        </w:rPr>
        <w:t>EXPORTACIÓN Y REPORTERÍA</w:t>
      </w:r>
    </w:p>
    <w:p>
      <w:pPr>
        <w:pStyle w:val="Heading3"/>
        <w:keepNext/>
        <w:keepLines/>
      </w:pPr>
      <w:r>
        <w:t>Exportar a PowerPoint</w:t>
      </w:r>
    </w:p>
    <w:p>
      <w:pPr>
        <w:pStyle w:val="ListBullet"/>
        <w:keepLines w:val="1"/>
        <w:keepNext w:val="1"/>
        <w:widowControl w:val="1"/>
      </w:pPr>
      <w:r>
        <w:t>Copiar Dashboard → Pegado especial como imagen</w:t>
      </w:r>
    </w:p>
    <w:p>
      <w:pPr>
        <w:pStyle w:val="ListBullet"/>
        <w:keepLines w:val="1"/>
        <w:widowControl w:val="1"/>
      </w:pPr>
      <w:r>
        <w:t>Incorporar en Informe Ejecutivo (Hoja 6)</w:t>
      </w:r>
    </w:p>
    <w:p>
      <w:pPr>
        <w:pStyle w:val="Heading3"/>
        <w:keepNext/>
        <w:keepLines/>
      </w:pPr>
      <w:r>
        <w:t>Exportar a PDF</w:t>
      </w:r>
    </w:p>
    <w:p>
      <w:pPr>
        <w:pStyle w:val="ListBullet"/>
        <w:keepLines w:val="1"/>
        <w:keepNext w:val="1"/>
        <w:widowControl w:val="1"/>
      </w:pPr>
      <w:r>
        <w:t>Archivo &gt; Exportar &gt; PDF</w:t>
      </w:r>
    </w:p>
    <w:p>
      <w:pPr>
        <w:pStyle w:val="ListBullet"/>
        <w:keepLines w:val="1"/>
        <w:widowControl w:val="1"/>
      </w:pPr>
      <w:r>
        <w:t>Seleccionar hojas: DASHBOARD + BRECHAS</w:t>
      </w:r>
    </w:p>
    <w:p>
      <w:r>
        <w:rPr>
          <w:i/>
        </w:rPr>
        <w:t>Plantilla diseñada para ser flexible y escalable. Ajustar pesos de dominios según prioridades organizacionales.</w:t>
      </w:r>
    </w:p>
    <w:p>
      <w:r>
        <w:rPr>
          <w:b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