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</w:t>
      </w:r>
    </w:p>
    <w:p>
      <w:pPr>
        <w:pStyle w:val="Heading2"/>
        <w:keepNext/>
        <w:keepLines/>
      </w:pPr>
      <w:r>
        <w:rPr>
          <w:color w:val="0066CC"/>
        </w:rPr>
        <w:t>Estructura de Presentación para Junta Directiva y Stakeholders</w:t>
      </w:r>
    </w:p>
    <w:p>
      <w:pPr>
        <w:pStyle w:val="Heading2"/>
        <w:keepNext/>
        <w:keepLines/>
      </w:pPr>
      <w:r>
        <w:rPr>
          <w:color w:val="0066CC"/>
        </w:rPr>
        <w:t>ÍNDICE DE DIAPOSITIVAS (20 diapositivas)</w:t>
      </w:r>
    </w:p>
    <w:p>
      <w:pPr>
        <w:pStyle w:val="ListNumber"/>
        <w:keepLines w:val="1"/>
        <w:keepNext w:val="1"/>
        <w:widowControl w:val="1"/>
      </w:pPr>
      <w:r>
        <w:t>Portada</w:t>
      </w:r>
    </w:p>
    <w:p>
      <w:pPr>
        <w:pStyle w:val="ListNumber"/>
        <w:keepLines w:val="1"/>
        <w:keepNext w:val="1"/>
        <w:widowControl w:val="1"/>
      </w:pPr>
      <w:r>
        <w:t>Resumen ejecutivo (IGM, Clasificación, Recomendación)</w:t>
      </w:r>
    </w:p>
    <w:p>
      <w:pPr>
        <w:pStyle w:val="ListNumber"/>
        <w:keepLines w:val="1"/>
        <w:keepNext w:val="1"/>
        <w:widowControl w:val="1"/>
      </w:pPr>
      <w:r>
        <w:t>Contexto regulatorio (NIS2, ISO 27001, NIST)</w:t>
      </w:r>
    </w:p>
    <w:p>
      <w:pPr>
        <w:pStyle w:val="ListNumber"/>
        <w:keepLines w:val="1"/>
        <w:keepNext w:val="1"/>
        <w:widowControl w:val="1"/>
      </w:pPr>
      <w:r>
        <w:t>Metodología de evaluación</w:t>
      </w:r>
    </w:p>
    <w:p>
      <w:pPr>
        <w:pStyle w:val="ListNumber"/>
        <w:keepLines w:val="1"/>
        <w:keepNext w:val="1"/>
        <w:widowControl w:val="1"/>
      </w:pPr>
      <w:r>
        <w:t>Resultados globales (IGM, NIST CSF, ICN)</w:t>
      </w:r>
    </w:p>
    <w:p>
      <w:pPr>
        <w:pStyle w:val="ListNumber"/>
        <w:keepLines w:val="1"/>
        <w:keepNext w:val="1"/>
        <w:widowControl w:val="1"/>
      </w:pPr>
      <w:r>
        <w:t>Gráfico radar de dominios</w:t>
      </w:r>
    </w:p>
    <w:p>
      <w:pPr>
        <w:pStyle w:val="ListNumber"/>
        <w:keepLines w:val="1"/>
        <w:keepNext w:val="1"/>
        <w:widowControl w:val="1"/>
      </w:pPr>
      <w:r>
        <w:t>Análisis dominio Gobernanza y Riesgos</w:t>
      </w:r>
    </w:p>
    <w:p>
      <w:pPr>
        <w:pStyle w:val="ListNumber"/>
        <w:keepLines w:val="1"/>
        <w:keepNext w:val="1"/>
        <w:widowControl w:val="1"/>
      </w:pPr>
      <w:r>
        <w:t>Análisis dominio Vulnerabilidades</w:t>
      </w:r>
    </w:p>
    <w:p>
      <w:pPr>
        <w:pStyle w:val="ListNumber"/>
        <w:keepLines w:val="1"/>
        <w:keepNext w:val="1"/>
        <w:widowControl w:val="1"/>
      </w:pPr>
      <w:r>
        <w:t>Análisis dominio SIEM</w:t>
      </w:r>
    </w:p>
    <w:p>
      <w:pPr>
        <w:pStyle w:val="ListNumber"/>
        <w:keepLines w:val="1"/>
        <w:keepNext w:val="1"/>
        <w:widowControl w:val="1"/>
      </w:pPr>
      <w:r>
        <w:t>Análisis dominio Capacitación</w:t>
      </w:r>
    </w:p>
    <w:p>
      <w:pPr>
        <w:pStyle w:val="ListNumber"/>
        <w:keepLines w:val="1"/>
        <w:keepNext w:val="1"/>
        <w:widowControl w:val="1"/>
      </w:pPr>
      <w:r>
        <w:t>Análisis dominio Cumplimiento Normativo</w:t>
      </w:r>
    </w:p>
    <w:p>
      <w:pPr>
        <w:pStyle w:val="ListNumber"/>
        <w:keepLines w:val="1"/>
        <w:keepNext w:val="1"/>
        <w:widowControl w:val="1"/>
      </w:pPr>
      <w:r>
        <w:t>Análisis dominios restantes (resumen)</w:t>
      </w:r>
    </w:p>
    <w:p>
      <w:pPr>
        <w:pStyle w:val="ListNumber"/>
        <w:keepLines w:val="1"/>
        <w:keepNext w:val="1"/>
        <w:widowControl w:val="1"/>
      </w:pPr>
      <w:r>
        <w:t>Matriz de brechas críticas</w:t>
      </w:r>
    </w:p>
    <w:p>
      <w:pPr>
        <w:pStyle w:val="ListNumber"/>
        <w:keepLines w:val="1"/>
        <w:keepNext w:val="1"/>
        <w:widowControl w:val="1"/>
      </w:pPr>
      <w:r>
        <w:t>Análisis financiero (ROICS, Inversión, Beneficios)</w:t>
      </w:r>
    </w:p>
    <w:p>
      <w:pPr>
        <w:pStyle w:val="ListNumber"/>
        <w:keepLines w:val="1"/>
        <w:keepNext w:val="1"/>
        <w:widowControl w:val="1"/>
      </w:pPr>
      <w:r>
        <w:t>Roadmap de 12 meses (Q1-Q4 2026)</w:t>
      </w:r>
    </w:p>
    <w:p>
      <w:pPr>
        <w:pStyle w:val="ListNumber"/>
        <w:keepLines w:val="1"/>
        <w:keepNext w:val="1"/>
        <w:widowControl w:val="1"/>
      </w:pPr>
      <w:r>
        <w:t>Top 5 recomendaciones prioritarias</w:t>
      </w:r>
    </w:p>
    <w:p>
      <w:pPr>
        <w:pStyle w:val="ListNumber"/>
        <w:keepLines w:val="1"/>
        <w:keepNext w:val="1"/>
        <w:widowControl w:val="1"/>
      </w:pPr>
      <w:r>
        <w:t>Planes de implementación detallados</w:t>
      </w:r>
    </w:p>
    <w:p>
      <w:pPr>
        <w:pStyle w:val="ListNumber"/>
        <w:keepLines w:val="1"/>
        <w:keepNext w:val="1"/>
        <w:widowControl w:val="1"/>
      </w:pPr>
      <w:r>
        <w:t>Métricas de éxito y KPIs</w:t>
      </w:r>
    </w:p>
    <w:p>
      <w:pPr>
        <w:pStyle w:val="ListNumber"/>
        <w:keepLines w:val="1"/>
        <w:keepNext w:val="1"/>
        <w:widowControl w:val="1"/>
      </w:pPr>
      <w:r>
        <w:t>Riesgos de implementación y mitigación</w:t>
      </w:r>
    </w:p>
    <w:p>
      <w:pPr>
        <w:pStyle w:val="ListNumber"/>
        <w:keepLines w:val="1"/>
        <w:widowControl w:val="1"/>
      </w:pPr>
      <w:r>
        <w:t>Conclusiones y próximos pasos</w:t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</w:t>
        <w:br/>
        <w:t xml:space="preserve">         EVALUACIÓN INTEGRAL DE CIBERSEGURIDAD</w:t>
        <w:br/>
        <w:t xml:space="preserve">              INFORME EJECUTIVO - REPORTE MERCURY</w:t>
        <w:br/>
        <w:t>═══════════════════════════════════════════════════</w:t>
        <w:br/>
        <w:br/>
        <w:t>[Logo organización]</w:t>
        <w:br/>
        <w:br/>
        <w:t>Organización: ________________________________</w:t>
        <w:br/>
        <w:t>Sector: _____________________________________</w:t>
        <w:br/>
        <w:t>Tamaño: _____________________________________</w:t>
        <w:br/>
        <w:t>Clasificación NIS2: ________________________________</w:t>
        <w:br/>
        <w:br/>
        <w:t>Período de Evaluación: _______ a _______</w:t>
        <w:br/>
        <w:t>Fecha del Reporte: [Mes Año 2026]</w:t>
        <w:br/>
        <w:br/>
        <w:t>Responsable: ________________________________</w:t>
        <w:br/>
        <w:t>Aprobado por: ________________________________</w:t>
        <w:br/>
        <w:br/>
        <w:t>CONFIDENCIAL - DISTRIBUCIÓN RESTRINGIDA</w:t>
        <w:br/>
      </w:r>
    </w:p>
    <w:p>
      <w:pPr>
        <w:pStyle w:val="Heading2"/>
        <w:keepNext/>
        <w:keepLines/>
      </w:pPr>
      <w:r>
        <w:rPr>
          <w:color w:val="0066CC"/>
        </w:rPr>
        <w:t>DIAPOSITIVA 2: RESUMEN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HALLAZGOS CLAVE</w:t>
        <w:br/>
        <w:br/>
        <w:t>╔════════════════════════════════════════════════════╗</w:t>
        <w:br/>
        <w:t>║     ÍNDICE GLOBAL DE MADUREZ (IGM): 3.2 / 5.0    ║</w:t>
        <w:br/>
        <w:t>║        Clasificación: TIER 3 - ESTABLECIDO        ║</w:t>
        <w:br/>
        <w:t>║                  Porcentaje: 64%                  ║</w:t>
        <w:br/>
        <w:t>╚════════════════════════════════════════════════════╝</w:t>
        <w:br/>
        <w:br/>
        <w:t>📊 POSICIÓN: España (benchmarks 2024)</w:t>
        <w:br/>
        <w:t xml:space="preserve">   • Sector tu industria: promedio [X]</w:t>
        <w:br/>
        <w:t xml:space="preserve">   • Tu organización: [X + Y] (diferencial)</w:t>
        <w:br/>
        <w:br/>
        <w:t>🎯 CONFORMIDAD: 68% (NIS2 + ISO 27001)</w:t>
        <w:br/>
        <w:t xml:space="preserve">   Status: PARCIALMENTE CONFORME</w:t>
        <w:br/>
        <w:t xml:space="preserve">   Acción requerida: SÍ, antes Q1 2026</w:t>
        <w:br/>
        <w:br/>
        <w:t>💰 ROICS: 112% en 3 años</w:t>
        <w:br/>
        <w:t xml:space="preserve">   Beneficios estimados: €4.5M</w:t>
        <w:br/>
        <w:t xml:space="preserve">   Inversión requerida: €2.1M</w:t>
        <w:br/>
        <w:br/>
        <w:t>🚨 CRÍTICAS: 3 dominios con brecha &gt;1.5</w:t>
        <w:br/>
        <w:t xml:space="preserve">   1. Gobernanza y Riesgos (brecha 2.0)</w:t>
        <w:br/>
        <w:t xml:space="preserve">   2. Cumplimiento Normativo (brecha 2.3)</w:t>
        <w:br/>
        <w:t xml:space="preserve">   3. SIEM (brecha 1.5)</w:t>
        <w:br/>
        <w:br/>
        <w:t>✅ FORTALEZAS: 2 dominios en nivel 4</w:t>
        <w:br/>
        <w:t xml:space="preserve">   • Vulnerabilidades (3.4/5)</w:t>
        <w:br/>
        <w:t xml:space="preserve">   • Controles Técnicos (3.2/5)</w:t>
        <w:br/>
        <w:br/>
        <w:t>⚠️ RECOMENDACIÓN EJECUTIVA:</w:t>
        <w:br/>
        <w:t xml:space="preserve">   "Implementación de governance mediante Mercury AVRQ</w:t>
        <w:br/>
        <w:t xml:space="preserve">    y cumplimiento de NIS2 es CRÍTICO antes de Q1 2026.</w:t>
        <w:br/>
        <w:t xml:space="preserve">    Requiere €200K en Q1 y asignación de recursos clave.</w:t>
        <w:br/>
        <w:t xml:space="preserve">    ROI justifica inversión ampliamente."</w:t>
        <w:br/>
      </w:r>
    </w:p>
    <w:p>
      <w:pPr>
        <w:pStyle w:val="Heading3"/>
        <w:keepNext/>
        <w:keepLines/>
      </w:pPr>
      <w:r>
        <w:t>Notas del Orador (Hoja de notas):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• Enfatizar que esta evaluación es HONESTA, no optimista</w:t>
        <w:br/>
        <w:t>• 64% no es malo, pero la tendencia debe mejorar</w:t>
        <w:br/>
        <w:t>• NIS2 es OBLIGATORIO, no opcional</w:t>
        <w:br/>
        <w:t>• Multas potenciales si no se cumple: €7-10M</w:t>
        <w:br/>
        <w:t>• Beneficio: Mejor postura competitiva en licitaciones</w:t>
        <w:br/>
      </w:r>
    </w:p>
    <w:p>
      <w:pPr>
        <w:pStyle w:val="Heading2"/>
        <w:keepNext/>
        <w:keepLines/>
      </w:pPr>
      <w:r>
        <w:rPr>
          <w:color w:val="0066CC"/>
        </w:rPr>
        <w:t>DIAPOSITIVA 3: CONTEXTO REGULATORIO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¿POR QUÉ CIBERSEGURIDAD AHORA?</w:t>
        <w:br/>
        <w:br/>
        <w:t>Línea de tiempo regulatoria española:</w:t>
        <w:br/>
        <w:br/>
        <w:t>2016 ────────────→ 2024 ────→ 2026 ────→ 2027</w:t>
        <w:br/>
        <w:t>GDPR          GDPR Multas   NIS2 Ley   NIS2 Auditorías</w:t>
        <w:br/>
        <w:t>Definido      Vigente       Vigente    Sancionador</w:t>
        <w:br/>
        <w:br/>
        <w:t>REGULACIONES APLICABLES</w:t>
        <w:br/>
        <w:br/>
        <w:t>┌─ NIS2 (Directiva 2022/2555 UE) ──────┐</w:t>
        <w:br/>
        <w:t>│ Vigencia: Ley española Q1 2026       │</w:t>
        <w:br/>
        <w:t>│ Aplicable: Entidades Esenciales     │</w:t>
        <w:br/>
        <w:t>│ Aplicable: Entidades Importantes    │</w:t>
        <w:br/>
        <w:t>│ Multa Máxima: €10M o 2% facturación │</w:t>
        <w:br/>
        <w:t>│ Período auditoría: 12 meses post-ley│</w:t>
        <w:br/>
        <w:t>└──────────────────────────────────────┘</w:t>
        <w:br/>
        <w:br/>
        <w:t>┌─ ISO/IEC 27001:2022 ────────────────┐</w:t>
        <w:br/>
        <w:t>│ Estándar: Certificación optativa    │</w:t>
        <w:br/>
        <w:t>│ Beneficio: Demostración de madurez  │</w:t>
        <w:br/>
        <w:t>│ Tiempo implementación: 12-18 meses  │</w:t>
        <w:br/>
        <w:t>│ Costo: €30-80K (auditoría externa)  │</w:t>
        <w:br/>
        <w:t>└──────────────────────────────────────┘</w:t>
        <w:br/>
        <w:br/>
        <w:t>┌─ NIST CSF v2.0 ─────────────────────┐</w:t>
        <w:br/>
        <w:t>│ Framework: Orientación ejecutiva    │</w:t>
        <w:br/>
        <w:t>│ Alineación: Universal a todos CSS   │</w:t>
        <w:br/>
        <w:t>│ Objetivo: Nivel 3-4 (tu organización│</w:t>
        <w:br/>
        <w:t>│ Horizonte: 24 meses                 │</w:t>
        <w:br/>
        <w:t>└──────────────────────────────────────┘</w:t>
        <w:br/>
        <w:br/>
        <w:t>PREGUNTA CLAVE: ¿Tu organización está preparada?</w:t>
        <w:br/>
        <w:t>Respuesta basada en datos: Este reporte responde.</w:t>
        <w:br/>
      </w:r>
    </w:p>
    <w:p>
      <w:pPr>
        <w:pStyle w:val="Heading2"/>
        <w:keepNext/>
        <w:keepLines/>
      </w:pPr>
      <w:r>
        <w:rPr>
          <w:color w:val="0066CC"/>
        </w:rPr>
        <w:t>DIAPOSITIVA 4: METODOLOGÍA DE EVALUACIÓN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¿CÓMO SE EVALUÓ TU ORGANIZACIÓN?</w:t>
        <w:br/>
        <w:br/>
        <w:t>1. ENCUESTA INTEGRAL (112 preguntas)</w:t>
        <w:br/>
        <w:t xml:space="preserve">   • 12 dominios de ciberseguridad</w:t>
        <w:br/>
        <w:t xml:space="preserve">   • Cubiertos: Gobernanza, Riesgos, Vulnerabilidades,</w:t>
        <w:br/>
        <w:t xml:space="preserve">     Detección, Respuesta, Capacitación, Cumplimiento</w:t>
        <w:br/>
        <w:t xml:space="preserve">   • Respondientes: [número] personas</w:t>
        <w:br/>
        <w:t xml:space="preserve">   • Tasa de respuesta: [%]</w:t>
        <w:br/>
        <w:br/>
        <w:t>2. SCORING (1-5 por pregunta)</w:t>
        <w:br/>
        <w:t xml:space="preserve">   1 = Inexistente</w:t>
        <w:br/>
        <w:t xml:space="preserve">   2 = Básico</w:t>
        <w:br/>
        <w:t xml:space="preserve">   3 = Definido</w:t>
        <w:br/>
        <w:t xml:space="preserve">   4 = Gestionado</w:t>
        <w:br/>
        <w:t xml:space="preserve">   5 = Optimizado</w:t>
        <w:br/>
        <w:br/>
        <w:t>3. ÍNDICE GLOBAL DE MADUREZ (IGM)</w:t>
        <w:br/>
        <w:t xml:space="preserve">   IGM = Media ponderada de dominios / 5</w:t>
        <w:br/>
        <w:br/>
        <w:t>4. VALIDACIÓN CRUZADA</w:t>
        <w:br/>
        <w:t xml:space="preserve">   ✓ Revisión documental (políticas, procedimientos)</w:t>
        <w:br/>
        <w:t xml:space="preserve">   ✓ Entrevistas con stakeholders clave</w:t>
        <w:br/>
        <w:t xml:space="preserve">   ✓ Análisis técnico (SIEM, configuraciones)</w:t>
        <w:br/>
        <w:br/>
        <w:t>5. MAPEO NORMATIVO</w:t>
        <w:br/>
        <w:t xml:space="preserve">   ✓ Cada pregunta vinculada a NIS2, ISO 27001, NIST</w:t>
        <w:br/>
        <w:t xml:space="preserve">   ✓ Conformidad calculada por requisito</w:t>
        <w:br/>
        <w:t xml:space="preserve">   ✓ Riesgos regulatorios identificados</w:t>
        <w:br/>
        <w:br/>
        <w:t>CONFIABILIDAD: ±0.3 puntos (IC 95%)</w:t>
        <w:br/>
        <w:t>SESGO DETECTADO: +0.2 puntos (optimismo típico)</w:t>
        <w:br/>
        <w:br/>
        <w:t>ENTIDADES SIMILARES (comparativa):</w:t>
        <w:br/>
        <w:t>• Sector [X]: IGM promedio 3.1 → Tu 3.2 (+0.1) ✓</w:t>
        <w:br/>
        <w:t>• Tamaño similar: IGM promedio 2.9 → Tu 3.2 (+0.3) ✓</w:t>
        <w:br/>
      </w:r>
    </w:p>
    <w:p>
      <w:pPr>
        <w:pStyle w:val="Heading2"/>
        <w:keepNext/>
        <w:keepLines/>
      </w:pPr>
      <w:r>
        <w:rPr>
          <w:color w:val="0066CC"/>
        </w:rPr>
        <w:t>DIAPOSITIVA 5: RESULTADOS GLOBALES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INDICADORES CLAVE</w:t>
        <w:br/>
        <w:br/>
        <w:t>┏━━━━━━━━━━━━━━━━━━━━━━━━━━━━━━━━━━━━━━━━━━━━━━━┓</w:t>
        <w:br/>
        <w:t>┃ ÍNDICE GLOBAL DE MADUREZ (IGM)                ┃</w:t>
        <w:br/>
        <w:t>┃ 3.2 / 5.0                                     ┃</w:t>
        <w:br/>
        <w:t>┃ [████████░░░░░░░░░░░░░░░░░░░░░░░░░] 64%      ┃</w:t>
        <w:br/>
        <w:t>┣━━━━━━━━━━━━━━━━━━━━━━━━━━━━━━━━━━━━━━━━━━━━━━━┫</w:t>
        <w:br/>
        <w:t>┃ Clasificación: TIER 3 - ESTABLECIDO           ┃</w:t>
        <w:br/>
        <w:t>┃ Horizonte mejora: 18-24 meses (Tier 4)       ┃</w:t>
        <w:br/>
        <w:t>┃ Inversión estimada: €2.1M                    ┃</w:t>
        <w:br/>
        <w:t>┗━━━━━━━━━━━━━━━━━━━━━━━━━━━━━━━━━━━━━━━━━━━━━━━┛</w:t>
        <w:br/>
        <w:br/>
        <w:t>┏━━━━━━━━━━━━━━━━━━━━━━━━━━━━━━━━━━━━━━━━━━━━━━━┓</w:t>
        <w:br/>
        <w:t>┃ NIVEL NIST CSF: Nivel 3 (Defined)            ┃</w:t>
        <w:br/>
        <w:t>┃ NIST = IGM × 6 = 3.2 × 6 = 19.2 / 30         ┃</w:t>
        <w:br/>
        <w:t>┣━━━━━━━━━━━━━━━━━━━━━━━━━━━━━━━━━━━━━━━━━━━━━━━┫</w:t>
        <w:br/>
        <w:t>┃ Procesos establecidos y comunicados           ┃</w:t>
        <w:br/>
        <w:t>┃ Mejora: Automatización y cuantificación       ┃</w:t>
        <w:br/>
        <w:t>┃ Riesgo residual: Moderado-alto                ┃</w:t>
        <w:br/>
        <w:t>┗━━━━━━━━━━━━━━━━━━━━━━━━━━━━━━━━━━━━━━━━━━━━━━━┛</w:t>
        <w:br/>
        <w:br/>
        <w:t>┏━━━━━━━━━━━━━━━━━━━━━━━━━━━━━━━━━━━━━━━━━━━━━━━┓</w:t>
        <w:br/>
        <w:t>┃ CONFORMIDAD NORMATIVA: 68%                    ┃</w:t>
        <w:br/>
        <w:t>┃ [████████░░░░░░░░░░░░░░░░░] 68%              ┃</w:t>
        <w:br/>
        <w:t>┣━━━━━━━━━━━━━━━━━━━━━━━━━━━━━━━━━━━━━━━━━━━━━━━┫</w:t>
        <w:br/>
        <w:t>┃ Status: PARCIALMENTE CONFORME                 ┃</w:t>
        <w:br/>
        <w:t>┃ Requerimiento: 80% mínimo                     ┃</w:t>
        <w:br/>
        <w:t>┃ Gap: 12 puntos porcentuales                   ┃</w:t>
        <w:br/>
        <w:t>┃ Acción: CRÍTICA antes Q1 2026                 ┃</w:t>
        <w:br/>
        <w:t>┗━━━━━━━━━━━━━━━━━━━━━━━━━━━━━━━━━━━━━━━━━━━━━━━┛</w:t>
        <w:br/>
        <w:br/>
        <w:t>COMPARATIVA INTERNACIONAL</w:t>
        <w:br/>
        <w:t>• USA: IGM promedio 3.5 (tech-first)</w:t>
        <w:br/>
        <w:t>• EU: IGM promedio 3.0 (regulatory-first)</w:t>
        <w:br/>
        <w:t>• España: IGM promedio 2.8 (developing)</w:t>
        <w:br/>
        <w:t>• Tu organización: 3.2 (ARRIBA DEL PROMEDIO ✓)</w:t>
        <w:br/>
      </w:r>
    </w:p>
    <w:p>
      <w:pPr>
        <w:pStyle w:val="Heading2"/>
        <w:keepNext/>
        <w:keepLines/>
      </w:pPr>
      <w:r>
        <w:rPr>
          <w:color w:val="0066CC"/>
        </w:rPr>
        <w:t>DIAPOSITIVA 6: GRÁFICO RADAR DE DOMINIOS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DESEMPEÑO POR DOMINIO</w:t>
        <w:br/>
        <w:br/>
        <w:t xml:space="preserve">        Gobernanza  Continuidad  Cumplimiento</w:t>
        <w:br/>
        <w:t xml:space="preserve">         (GR)        (CONT)       (NORM)</w:t>
        <w:br/>
        <w:t xml:space="preserve">           │            │              │</w:t>
        <w:br/>
        <w:t xml:space="preserve">      5.0  ★────────────★────────────★</w:t>
        <w:br/>
        <w:t xml:space="preserve">         │      │      │      │      │</w:t>
        <w:br/>
        <w:t xml:space="preserve">     4.0 │   ╱──┼──────┼──────┼──╲   │</w:t>
        <w:br/>
        <w:t xml:space="preserve">        │  ╱   │      │      │    ╲  │</w:t>
        <w:br/>
        <w:t xml:space="preserve">    3.0│ ╱    │2.5   │3.5   │3.0  ╲ │</w:t>
        <w:br/>
        <w:t xml:space="preserve">       │╱     │      │      │      ╲│</w:t>
        <w:br/>
        <w:t xml:space="preserve">    2.0├──────○──────○──────○───────○─ VUL, PEN, SIEM</w:t>
        <w:br/>
        <w:t xml:space="preserve">     │     2.2   3.4   3.0   3.4   │</w:t>
        <w:br/>
        <w:t xml:space="preserve">    1.0│                             │</w:t>
        <w:br/>
        <w:t xml:space="preserve">       │                             │</w:t>
        <w:br/>
        <w:t xml:space="preserve">    0.0 ─────────────────────────────</w:t>
        <w:br/>
        <w:t xml:space="preserve">        CAP (2.8)  CTRL (3.2)  INT (2.5)</w:t>
        <w:br/>
        <w:br/>
        <w:t>LÍNEA INTERIOR = Puntuación Actual</w:t>
        <w:br/>
        <w:t>LÍNEA EXTERIOR = Objetivo (4.5)</w:t>
        <w:br/>
        <w:br/>
        <w:t>DOMINIOS CRÍTICOS (Brecha &gt; 1.5):</w:t>
        <w:br/>
        <w:t>• Gobernanza y Riesgos: 2.5 → 4.5 (Brecha 2.0) 🔴</w:t>
        <w:br/>
        <w:t>• Cumplimiento Normativo: 2.2 → 4.5 (Brecha 2.3) 🔴</w:t>
        <w:br/>
        <w:t>• SIEM e Incidentes: 3.0 → 4.5 (Brecha 1.5) 🟠</w:t>
        <w:br/>
        <w:br/>
        <w:t>DOMINIOS FUERTES (≥3.3):</w:t>
        <w:br/>
        <w:t>• Vulnerabilidades: 3.4 ✓</w:t>
        <w:br/>
        <w:t>• Controles Técnicos: 3.2 ✓</w:t>
        <w:br/>
        <w:t>• Continuidad: 3.5 ✓</w:t>
        <w:br/>
        <w:br/>
        <w:t>DOMINIOS CON POTENCIAL:</w:t>
        <w:br/>
        <w:t>• Capacitación: 2.8 (mejora rápida posible)</w:t>
        <w:br/>
        <w:t>• Inteligencia: 2.5 (bajo presupuesto actual)</w:t>
        <w:br/>
      </w:r>
    </w:p>
    <w:p>
      <w:r>
        <w:rPr>
          <w:b/>
        </w:rPr>
        <w:t>Notas técnicas PowerPoint:</w:t>
      </w:r>
      <w:r/>
      <w:r>
        <w:br/>
        <w:t>- Usar gráfico radar/araña con 10 series</w:t>
      </w:r>
      <w:r/>
      <w:r>
        <w:br/>
        <w:t>- Colores: Verde (&gt;3.5), Amarillo (2.5-3.5), Rojo (&lt;2.5)</w:t>
      </w:r>
      <w:r/>
      <w:r>
        <w:br/>
        <w:t>- Incluir leyenda y valores en el gráfico</w:t>
      </w:r>
    </w:p>
    <w:p>
      <w:pPr>
        <w:pStyle w:val="Heading2"/>
        <w:keepNext/>
        <w:keepLines/>
      </w:pPr>
      <w:r>
        <w:rPr>
          <w:color w:val="0066CC"/>
        </w:rPr>
        <w:t>DIAPOSITIVA 7: DOMINIO - GOBERNANZA Y RIESGOS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 Y RIESGOS: La Base de Todo</w:t>
        <w:br/>
        <w:br/>
        <w:t>PUNTUACIÓN ACTUAL: 2.5 / 5.0 (CRÍTICA)</w:t>
        <w:br/>
        <w:t>Brecha al objetivo: -2.0 puntos</w:t>
        <w:br/>
        <w:t>Impacto: Afecta decisiones de inversión de seguridad</w:t>
        <w:br/>
        <w:br/>
        <w:t>═════════════════════════════════════════════════</w:t>
        <w:br/>
        <w:br/>
        <w:t>EVALUACIÓN DETALLADA:</w:t>
        <w:br/>
        <w:br/>
        <w:t>✗ P2.1: Metodología formal de análisis de riesgos</w:t>
        <w:br/>
        <w:t xml:space="preserve">  Respuesta: "Sí, pero sin alineación a estándares"</w:t>
        <w:br/>
        <w:t xml:space="preserve">  Score: 2/5 - Parcial</w:t>
        <w:br/>
        <w:t xml:space="preserve">  Requisito: ISO 27005, NIST SP 800-30</w:t>
        <w:br/>
        <w:br/>
        <w:t xml:space="preserve">  Recomendación:</w:t>
        <w:br/>
        <w:t xml:space="preserve">  • Implementar ISO 27005 formal (3-6 meses)</w:t>
        <w:br/>
        <w:t xml:space="preserve">  • Entrenar a equipo en metodología (2 semanas)</w:t>
        <w:br/>
        <w:t xml:space="preserve">  • Documentar y comunicar framework (1 mes)</w:t>
        <w:br/>
        <w:br/>
        <w:t>✗ P2.2: Cuantificación monetaria de riesgos (AVRQ/FAIR)</w:t>
        <w:br/>
        <w:t xml:space="preserve">  Respuesta: "Parcialmente; método manual"</w:t>
        <w:br/>
        <w:t xml:space="preserve">  Score: 2/5 - Manual vs automatizado</w:t>
        <w:br/>
        <w:t xml:space="preserve">  Requisito: Mercury AVRQ o FAIR Institute</w:t>
        <w:br/>
        <w:br/>
        <w:t xml:space="preserve">  Recomendación:</w:t>
        <w:br/>
        <w:t xml:space="preserve">  • Adoptar Mercury AVRQ (licencia + implementación)</w:t>
        <w:br/>
        <w:t xml:space="preserve">  • Herramienta: Automatización cuantificación</w:t>
        <w:br/>
        <w:t xml:space="preserve">  • Beneficio: Justificación financiera de inversiones</w:t>
        <w:br/>
        <w:t xml:space="preserve">  • Timeline: 2-3 meses implementación</w:t>
        <w:br/>
        <w:br/>
        <w:t>✓ P2.3: Planes de tratamiento documentados</w:t>
        <w:br/>
        <w:t xml:space="preserve">  Respuesta: "Sí, para riesgos críticos"</w:t>
        <w:br/>
        <w:t xml:space="preserve">  Score: 3/5 - Implementado pero no exhaustivo</w:t>
        <w:br/>
        <w:t xml:space="preserve">  Requisito: Todos los riesgos con plan</w:t>
        <w:br/>
        <w:br/>
        <w:t>═════════════════════════════════════════════════</w:t>
        <w:br/>
        <w:br/>
        <w:t>IMPACTO FINANCIERO:</w:t>
        <w:br/>
        <w:br/>
        <w:t>Inversión requerida:</w:t>
        <w:br/>
        <w:t>• Consultoría ISO 27005: €15K</w:t>
        <w:br/>
        <w:t>• Licencia Mercury AVRQ: €25K/año</w:t>
        <w:br/>
        <w:t>• Tiempo interno (6 meses): €40K</w:t>
        <w:br/>
        <w:t>• TOTAL Fase 1: €80K</w:t>
        <w:br/>
        <w:br/>
        <w:t>Beneficio esperado:</w:t>
        <w:br/>
        <w:t>• Decisiones ROI justificadas: €500K ahorrados/año</w:t>
        <w:br/>
        <w:t>• Evitar inversiones ineficientes: €200K</w:t>
        <w:br/>
        <w:t>• Cumplimiento NIS2 (evitar multas): €1M+ potencial</w:t>
        <w:br/>
        <w:br/>
        <w:t>NET Año 1: €620K beneficio vs €80K inversión = 775% ROI</w:t>
        <w:br/>
        <w:br/>
        <w:t>LÍNEA DE TIEMPO:</w:t>
        <w:br/>
        <w:t>Q1 2026: Consultoría + Selección Mercury (+€80K)</w:t>
        <w:br/>
        <w:t>Q2 2026: Implementación y capacitación</w:t>
        <w:br/>
        <w:t>Q3 2026: Operación y refinamiento</w:t>
        <w:br/>
        <w:t>Q4 2026: Evaluación y ajustes</w:t>
        <w:br/>
      </w:r>
    </w:p>
    <w:p>
      <w:pPr>
        <w:pStyle w:val="Heading2"/>
        <w:keepNext/>
        <w:keepLines/>
      </w:pPr>
      <w:r>
        <w:rPr>
          <w:color w:val="0066CC"/>
        </w:rPr>
        <w:t>DIAPOSITIVA 8-11: DOMINIOS VULNERABILIDADES, SIEM, CAPACITACIÓN</w:t>
      </w:r>
    </w:p>
    <w:p>
      <w:r>
        <w:rPr>
          <w:i/>
        </w:rPr>
        <w:t>[Estructura idéntica a Diapositiva 7, adaptada a cada dominio]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 GENERAL (Aplicar a cada dominio):</w:t>
        <w:br/>
        <w:br/>
        <w:t>DOMINIO [X]: Puntuación [Y] / 5.0</w:t>
        <w:br/>
        <w:br/>
        <w:t>EVALUACIÓN DETALLADA:</w:t>
        <w:br/>
        <w:t>✓/✗ P[X.1]: [Pregunta] → Score [Y]/5, Brecha [Z]</w:t>
        <w:br/>
        <w:t>✓/✗ P[X.2]: [Pregunta] → Score [Y]/5, Brecha [Z]</w:t>
        <w:br/>
        <w:t>✓/✗ P[X.3]: [Pregunta] → Score [Y]/5, Brecha [Z]</w:t>
        <w:br/>
        <w:br/>
        <w:t>RECOMENDACIONES TOP 3:</w:t>
        <w:br/>
        <w:t>1. [Acción específica] (Timeline, Costo)</w:t>
        <w:br/>
        <w:t>2. [Acción específica] (Timeline, Costo)</w:t>
        <w:br/>
        <w:t>3. [Acción específica] (Timeline, Costo)</w:t>
        <w:br/>
        <w:br/>
        <w:t>IMPACTO FINANCIERO:</w:t>
        <w:br/>
        <w:t>• Inversión: €[X]</w:t>
        <w:br/>
        <w:t>• Beneficio: €[Y]</w:t>
        <w:br/>
        <w:t>• ROI: [%]</w:t>
        <w:br/>
        <w:br/>
        <w:t xml:space="preserve">Nota: Mantener tono ejecutivo, números concretos, </w:t>
        <w:br/>
        <w:t xml:space="preserve">      referencias a NIS2/ISO cuando aplique.</w:t>
        <w:br/>
      </w:r>
    </w:p>
    <w:p>
      <w:pPr>
        <w:pStyle w:val="Heading2"/>
        <w:keepNext/>
        <w:keepLines/>
      </w:pPr>
      <w:r>
        <w:rPr>
          <w:color w:val="0066CC"/>
        </w:rPr>
        <w:t>DIAPOSITIVA 12: RESUMEN DE DOMINIOS RESTANTES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DOMINIOS: CONTINUIDAD, CADENA SUMINISTRO, INTELIGENCIA</w:t>
        <w:br/>
        <w:br/>
        <w:t>CONTINUIDAD DE NEGOCIO (CONT) - 3.5 / 5.0</w:t>
        <w:br/>
        <w:t>├─ BCP documentado: ✓ (Score 4/5)</w:t>
        <w:br/>
        <w:t>├─ DR documentado: ✓ (Score 3/5)</w:t>
        <w:br/>
        <w:t>├─ Testing regularidad: ⚠ (Score 3/5, mejora necesaria)</w:t>
        <w:br/>
        <w:t>└─ Brecha: 1.0 → Plan: Mejorar testing anual</w:t>
        <w:br/>
        <w:br/>
        <w:t>CADENA DE SUMINISTRO (SUPL) - 2.9 / 5.0</w:t>
        <w:br/>
        <w:t>├─ Evaluación proveedores: ⚠ (Score 3/5)</w:t>
        <w:br/>
        <w:t>├─ Monitoreo incidentes terceros: ✗ (Score 2/5)</w:t>
        <w:br/>
        <w:t>├─ SBOM (inventario software): ✗ (Score 2/5)</w:t>
        <w:br/>
        <w:t>└─ Brecha: 1.1 → Plan: Implementar SBOM, monitoreo TI</w:t>
        <w:br/>
        <w:br/>
        <w:t>INTELIGENCIA DE AMENAZAS (INT) - 2.5 / 5.0</w:t>
        <w:br/>
        <w:t>├─ Threat intelligence feeds: ⚠ (Score 3/5)</w:t>
        <w:br/>
        <w:t>├─ Análisis forense: ✗ (Score 2/5)</w:t>
        <w:br/>
        <w:t>├─ Participación ISACs: ⚠ (Score 2/5)</w:t>
        <w:br/>
        <w:t>└─ Brecha: 1.5 → Plan: Elevar a equipo SOC experto</w:t>
        <w:br/>
        <w:br/>
        <w:t>RESUMEN:</w:t>
        <w:br/>
        <w:t>Estos dominios requieren mejora media pero no crítica.</w:t>
        <w:br/>
        <w:t>Pueden abordarse después de dominios críticos (GR, NORM, SIEM).</w:t>
        <w:br/>
        <w:t>Inversión total estimada: €400K en 24 meses.</w:t>
        <w:br/>
      </w:r>
    </w:p>
    <w:p>
      <w:pPr>
        <w:pStyle w:val="Heading2"/>
        <w:keepNext/>
        <w:keepLines/>
      </w:pPr>
      <w:r>
        <w:rPr>
          <w:color w:val="0066CC"/>
        </w:rPr>
        <w:t>DIAPOSITIVA 13: MATRIZ DE BRECHAS CRÍTICAS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PRIORIZACIÓN: ¿QUÉ ARREGLAMOS PRIMERO?</w:t>
        <w:br/>
        <w:br/>
        <w:t>╔════════════════════════════════════════════════════════════╗</w:t>
        <w:br/>
        <w:t>║  DOMINIO        │ BRECHA  │ CRITICIDAD │ PRIORIDAD      ║</w:t>
        <w:br/>
        <w:t>╠════════════════════════════════════════════════════════════╣</w:t>
        <w:br/>
        <w:t>║ 1. Cumplimiento │  2.3    │ CRÍTICA ║ INMEDIATA (Q1)  ║</w:t>
        <w:br/>
        <w:t>║    Normativo    │         │ (NIS2)   ║ Acción: GNCS   ║</w:t>
        <w:br/>
        <w:t>║                 │         │          ║ Costo: €150K   ║</w:t>
        <w:br/>
        <w:t>╠════════════════════════════════════════════════════════════╣</w:t>
        <w:br/>
        <w:t>║ 2. Gobernanza   │  2.0    │ CRÍTICA ║ INMEDIATA (Q1)  ║</w:t>
        <w:br/>
        <w:t>║    y Riesgos    │         │ (Base)   ║ Acción: AVRQ   ║</w:t>
        <w:br/>
        <w:t>║                 │         │          ║ Costo: €80K    ║</w:t>
        <w:br/>
        <w:t>╠════════════════════════════════════════════════════════════╣</w:t>
        <w:br/>
        <w:t>║ 3. SIEM         │  1.5    │ CRÍTICA ║ CORTO (Q1-Q2)   ║</w:t>
        <w:br/>
        <w:t>║    e Incidentes │         │ (EE)     ║ Acción: Tuning ║</w:t>
        <w:br/>
        <w:t>║                 │         │          ║ Costo: €120K   ║</w:t>
        <w:br/>
        <w:t>╠════════════════════════════════════════════════════════════╣</w:t>
        <w:br/>
        <w:t>║ 4. Vulnerab.    │  1.1    │ ALTA    ║ CORTO (Q2)      ║</w:t>
        <w:br/>
        <w:t>║    y Parches    │         │ (raíz)   ║ Acción: Auto   ║</w:t>
        <w:br/>
        <w:t>║                 │         │          ║ Costo: €60K    ║</w:t>
        <w:br/>
        <w:t>╠════════════════════════════════════════════════════════════╣</w:t>
        <w:br/>
        <w:t>║ 5. Capacitación │  1.2    │ MEDIA   ║ MEDIO (Q2-Q3)   ║</w:t>
        <w:br/>
        <w:t>║    Empleados    │         │ (humano) ║ Acción: Prog   ║</w:t>
        <w:br/>
        <w:t>║                 │         │          ║ Costo: €40K    ║</w:t>
        <w:br/>
        <w:t>╚════════════════════════════════════════════════════════════╝</w:t>
        <w:br/>
        <w:br/>
        <w:t>INVERSIÓN TOTAL REQUERIDA:</w:t>
        <w:br/>
        <w:t>Q1 2026: €230K (Críticas)</w:t>
        <w:br/>
        <w:t>Q2 2026: €100K (Alta/Media)</w:t>
        <w:br/>
        <w:t>Q3-Q4 2026: €150K (Optimización)</w:t>
        <w:br/>
        <w:t>────────────────</w:t>
        <w:br/>
        <w:t>TOTAL 2026: €480K (Proyectado para Tier 4)</w:t>
        <w:br/>
        <w:br/>
        <w:t>Comparativa presupuesto actual: [€X actual] → [€480K recomendado]</w:t>
        <w:br/>
        <w:t>Aumento: +[Y%] (justificable por ROI)</w:t>
        <w:br/>
      </w:r>
    </w:p>
    <w:p>
      <w:pPr>
        <w:pStyle w:val="Heading2"/>
        <w:keepNext/>
        <w:keepLines/>
      </w:pPr>
      <w:r>
        <w:rPr>
          <w:color w:val="0066CC"/>
        </w:rPr>
        <w:t>DIAPOSITIVA 14: ANÁLISIS FINANCIERO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RETORNO SOBRE INVERSIÓN EN CIBERSEGURIDAD (ROICS)</w:t>
        <w:br/>
        <w:br/>
        <w:t>ESCENARIO: Implementación integral 3 años</w:t>
        <w:br/>
        <w:br/>
        <w:t>INVERSIONES PROYECTADAS:</w:t>
        <w:br/>
        <w:br/>
        <w:t>Año 1: €610K</w:t>
        <w:br/>
        <w:t>├─ Infraestructura (SIEM, firewalls): €150K</w:t>
        <w:br/>
        <w:t>├─ Herramientas (scanning, SOAR): €50K</w:t>
        <w:br/>
        <w:t>├─ Personal (+1 analista senior): €300K</w:t>
        <w:br/>
        <w:t>└─ Capacitación y servicios: €110K</w:t>
        <w:br/>
        <w:br/>
        <w:t>Año 2: €710K (incremento operacional)</w:t>
        <w:br/>
        <w:t>Año 3: €800K (madurez total)</w:t>
        <w:br/>
        <w:t>─────────────</w:t>
        <w:br/>
        <w:t>TOTAL 3 AÑOS: €2,120K</w:t>
        <w:br/>
        <w:br/>
        <w:t>BENEFICIOS ESTIMADOS (metodología Mercury AVRQ):</w:t>
        <w:br/>
        <w:br/>
        <w:t>Año 1: €1,240K</w:t>
        <w:br/>
        <w:t>├─ Evitar brechas críticas: €400K</w:t>
        <w:br/>
        <w:t>├─ Mejora MTTR (eficiencia): €100K</w:t>
        <w:br/>
        <w:t>├─ Evitar multas NIS2: €500K (0.5% × €2B potencial)</w:t>
        <w:br/>
        <w:t>├─ Reducción incidentes: €160K</w:t>
        <w:br/>
        <w:t>├─ Automatización operacional: €30K</w:t>
        <w:br/>
        <w:t>└─ Confianza de clientes: €50K</w:t>
        <w:br/>
        <w:br/>
        <w:t>Año 2: €1,990K (escalada operacional)</w:t>
        <w:br/>
        <w:t>Año 3: €1,270K (estabilización)</w:t>
        <w:br/>
        <w:t>─────────────</w:t>
        <w:br/>
        <w:t>TOTAL 3 AÑOS: €4,500K</w:t>
        <w:br/>
        <w:br/>
        <w:t>═════════════════════════════════════════════════</w:t>
        <w:br/>
        <w:br/>
        <w:t>CÁLCULO FINAL:</w:t>
        <w:br/>
        <w:br/>
        <w:t>ROICS = (Beneficios - Inversión) / Inversión × 100%</w:t>
        <w:br/>
        <w:t xml:space="preserve">      = (€4.5M - €2.1M) / €2.1M × 100%</w:t>
        <w:br/>
        <w:t xml:space="preserve">      = €2.4M / €2.1M × 100%</w:t>
        <w:br/>
        <w:t xml:space="preserve">      = 114% ✓ EXCELENTE</w:t>
        <w:br/>
        <w:br/>
        <w:t>Payback Period: 1.4 años</w:t>
        <w:br/>
        <w:t>Cada euro invertido genera: €2.12 en beneficio</w:t>
        <w:br/>
        <w:br/>
        <w:t>CONCLUSIÓN: Inversión altamente justificable desde</w:t>
        <w:br/>
        <w:t>perspectiva financiera. NIS2 lo hace obligatorio de</w:t>
        <w:br/>
        <w:t>todas formas (no es opcional).</w:t>
        <w:br/>
      </w:r>
    </w:p>
    <w:p>
      <w:pPr>
        <w:pStyle w:val="Heading2"/>
        <w:keepNext/>
        <w:keepLines/>
      </w:pPr>
      <w:r>
        <w:rPr>
          <w:color w:val="0066CC"/>
        </w:rPr>
        <w:t>DIAPOSITIVA 15: ROADMAP 12 MESES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PLAN DE IMPLEMENTACIÓN: 2026</w:t>
        <w:br/>
        <w:br/>
        <w:t>┏━━━━━━━━━━━━━━━━━━━━━━━━━━━━━━━━━━━━━━━━━━┓</w:t>
        <w:br/>
        <w:t>┃ Q1 2026: FASE CRÍTICA (ENERO-MARZO)     ┃</w:t>
        <w:br/>
        <w:t>├━━━━━━━━━━━━━━━━━━━━━━━━━━━━━━━━━━━━━━━━━━┤</w:t>
        <w:br/>
        <w:t>│ Hito 1: Transposición NIS2 a ley        │</w:t>
        <w:br/>
        <w:t>│ Acción 1: Implementar Mercury AVRQ      │</w:t>
        <w:br/>
        <w:t>│ Acción 2: Tuning SIEM (FPR reduction)   │</w:t>
        <w:br/>
        <w:t>│ Acción 3: Documentar medidas NIS2       │</w:t>
        <w:br/>
        <w:t>│ Recurso: €230K | Owner: CISO            │</w:t>
        <w:br/>
        <w:t>│ Entregable: Plan de conformidad         │</w:t>
        <w:br/>
        <w:t>└━━━━━━━━━━━━━━━━━━━━━━━━━━━━━━━━━━━━━━━━━━┛</w:t>
        <w:br/>
        <w:br/>
        <w:t>┏━━━━━━━━━━━━━━━━━━━━━━━━━━━━━━━━━━━━━━━━━━┓</w:t>
        <w:br/>
        <w:t>┃ Q2 2026: FASE OPERATIVA (ABRIL-JUNIO)  ┃</w:t>
        <w:br/>
        <w:t>├━━━━━━━━━━━━━━━━━━━━━━━━━━━━━━━━━━━━━━━━━━┤</w:t>
        <w:br/>
        <w:t>│ Hito 2: Registro ante CNCS (si EE/EI)   │</w:t>
        <w:br/>
        <w:t>│ Acción 1: Automatización SIEM           │</w:t>
        <w:br/>
        <w:t>│ Acción 2: Testing penetración anual     │</w:t>
        <w:br/>
        <w:t>│ Acción 3: Mejora gestión vulnerabilidades</w:t>
        <w:br/>
        <w:t>│ Recurso: €100K | Owner: Tech Team       │</w:t>
        <w:br/>
        <w:t>│ Entregable: Métrica MTTD &lt;4h            │</w:t>
        <w:br/>
        <w:t>└━━━━━━━━━━━━━━━━━━━━━━━━━━━━━━━━━━━━━━━━━━┛</w:t>
        <w:br/>
        <w:br/>
        <w:t>┏━━━━━━━━━━━━━━━━━━━━━━━━━━━━━━━━━━━━━━━━━━┓</w:t>
        <w:br/>
        <w:t>┃ Q3 2026: FASE DE OPTIMIZACIÓN (JUL-SEP)┃</w:t>
        <w:br/>
        <w:t>├━━━━━━━━━━━━━━━━━━━━━━━━━━━━━━━━━━━━━━━━━━┤</w:t>
        <w:br/>
        <w:t>│ Hito 3: ISO 27001 - 1ª auditoría        │</w:t>
        <w:br/>
        <w:t>│ Acción 1: Capacitación segundo ciclo    │</w:t>
        <w:br/>
        <w:t>│ Acción 2: A.D.A.M. expansión de activos │</w:t>
        <w:br/>
        <w:t>│ Acción 3: Threat intelligence teams     │</w:t>
        <w:br/>
        <w:t>│ Recurso: €100K | Owner: GRC Lead        │</w:t>
        <w:br/>
        <w:t>│ Entregable: Readiness para certificación</w:t>
        <w:br/>
        <w:t>└━━━━━━━━━━━━━━━━━━━━━━━━━━━━━━━━━━━━━━━━━━┛</w:t>
        <w:br/>
        <w:br/>
        <w:t>┏━━━━━━━━━━━━━━━━━━━━━━━━━━━━━━━━━━━━━━━━━━┓</w:t>
        <w:br/>
        <w:t>┃ Q4 2026: FASE DE EVALUACIÓN (OCT-DIC)  ┃</w:t>
        <w:br/>
        <w:t>├━━━━━━━━━━━━━━━━━━━━━━━━━━━━━━━━━━━━━━━━━━┤</w:t>
        <w:br/>
        <w:t>│ Hito 4: Re-encuesta y posición final    │</w:t>
        <w:br/>
        <w:t>│ Acción 1: Mejora continua (ciclo 2)     │</w:t>
        <w:br/>
        <w:t>│ Acción 2: Planificación 2027            │</w:t>
        <w:br/>
        <w:t>│ Acción 3: Evaluación ROI real           │</w:t>
        <w:br/>
        <w:t>│ Recurso: €50K | Owner: Director         │</w:t>
        <w:br/>
        <w:t>│ Entregable: IGM objetivo 4.0+ alcanzado │</w:t>
        <w:br/>
        <w:t>└━━━━━━━━━━━━━━━━━━━━━━━━━━━━━━━━━━━━━━━━━━┛</w:t>
        <w:br/>
        <w:br/>
        <w:t>GANTT CHART (Timeline):</w:t>
        <w:br/>
        <w:t>Q1 ████████████</w:t>
        <w:br/>
        <w:t>Q2     ████████████</w:t>
        <w:br/>
        <w:t>Q3        ████████████</w:t>
        <w:br/>
        <w:t>Q4           ████████████</w:t>
        <w:br/>
      </w:r>
    </w:p>
    <w:p>
      <w:pPr>
        <w:pStyle w:val="Heading2"/>
        <w:keepNext/>
        <w:keepLines/>
      </w:pPr>
      <w:r>
        <w:rPr>
          <w:color w:val="0066CC"/>
        </w:rPr>
        <w:t>DIAPOSITIVA 16: TOP 5 RECOMENDACIONES PRIORITARIAS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LAS CINCO ACCIONES QUE MÁS IMPACTO TENDRÁN</w:t>
        <w:br/>
        <w:br/>
        <w:t>1️⃣ IMPLEMENTAR MERCURY AVRQ (Gobernanza)</w:t>
        <w:br/>
        <w:t xml:space="preserve">   ├─ Qué: Sistema de cuantificación de riesgos basado en valor</w:t>
        <w:br/>
        <w:t xml:space="preserve">   ├─ Por qué: Requisito NIS2 Art. 20, justifica inversiones</w:t>
        <w:br/>
        <w:t xml:space="preserve">   ├─ Cuándo: Q1 2026 (inmediato)</w:t>
        <w:br/>
        <w:t xml:space="preserve">   ├─ Costo: €80K (licencia 1 año + consultoría)</w:t>
        <w:br/>
        <w:t xml:space="preserve">   ├─ Beneficio: €500K/año en decisiones ROI mejoradas</w:t>
        <w:br/>
        <w:t xml:space="preserve">   ├─ Owner: CISO + CFO</w:t>
        <w:br/>
        <w:t xml:space="preserve">   └─ Éxito: "Todas las inversiones cibernéticas con ROI calculado"</w:t>
        <w:br/>
        <w:br/>
        <w:t>2️⃣ CONFORMIDAD NIS2 INTEGRAL (Cumplimiento)</w:t>
        <w:br/>
        <w:t xml:space="preserve">   ├─ Qué: Documentar y implementar 21 medidas obligatorias</w:t>
        <w:br/>
        <w:t xml:space="preserve">   ├─ Por qué: Ley vigente Q1 2026, multas €7-10M si falla</w:t>
        <w:br/>
        <w:t xml:space="preserve">   ├─ Cuándo: Q1-Q2 2026 (crítico)</w:t>
        <w:br/>
        <w:t xml:space="preserve">   ├─ Costo: €150K (consultoría + recursos internos)</w:t>
        <w:br/>
        <w:t xml:space="preserve">   ├─ Beneficio: Evitar sanciones, operación legal</w:t>
        <w:br/>
        <w:t xml:space="preserve">   ├─ Owner: Head of Compliance + CISO</w:t>
        <w:br/>
        <w:t xml:space="preserve">   └─ Éxito: "Registro ante CNCS aprobado sin hallazgos"</w:t>
        <w:br/>
        <w:br/>
        <w:t>3️⃣ SIEM TUNING + AUTOMATIZACIÓN (Detección)</w:t>
        <w:br/>
        <w:t xml:space="preserve">   ├─ Qué: Reducir falsos positivos, mejorar MTTD</w:t>
        <w:br/>
        <w:t xml:space="preserve">   ├─ Por qué: Notificación &lt;24h requiere detección &lt;4h</w:t>
        <w:br/>
        <w:t xml:space="preserve">   ├─ Cuándo: Q1-Q2 2026</w:t>
        <w:br/>
        <w:t xml:space="preserve">   ├─ Costo: €120K (herramientas, servicios, personal)</w:t>
        <w:br/>
        <w:t xml:space="preserve">   ├─ Beneficio: Reducir MTTR de 8h a 2h (€80K ahorrados)</w:t>
        <w:br/>
        <w:t xml:space="preserve">   ├─ Owner: SOC Manager</w:t>
        <w:br/>
        <w:t xml:space="preserve">   └─ Éxito: "FPR &lt;5%, MTTD &lt;1 hora para críticas"</w:t>
        <w:br/>
        <w:br/>
        <w:t>4️⃣ AUTOMATIZACIÓN DE PARCHES (Vulnerabilidades)</w:t>
        <w:br/>
        <w:t xml:space="preserve">   ├─ Qué: Implementar gestión automatizada de parches críticos</w:t>
        <w:br/>
        <w:t xml:space="preserve">   ├─ Por qué: MTTR críticos deben ser &lt;14 días NIS2</w:t>
        <w:br/>
        <w:t xml:space="preserve">   ├─ Cuándo: Q2 2026</w:t>
        <w:br/>
        <w:t xml:space="preserve">   ├─ Costo: €60K (herramientas, pruebas)</w:t>
        <w:br/>
        <w:t xml:space="preserve">   ├─ Beneficio: Reducción de riesgo residual en 30%</w:t>
        <w:br/>
        <w:t xml:space="preserve">   ├─ Owner: Infrastructure Manager</w:t>
        <w:br/>
        <w:t xml:space="preserve">   └─ Éxito: "100% de críticos parchados en &lt;7 días"</w:t>
        <w:br/>
        <w:br/>
        <w:t>5️⃣ PROGRAMA DE CAPACITACIÓN AVANZADO (Personas)</w:t>
        <w:br/>
        <w:t xml:space="preserve">   ├─ Qué: Phishing simulado + feedback + métricas conducta</w:t>
        <w:br/>
        <w:t xml:space="preserve">   ├─ Por qué: Personal es última línea de defensa</w:t>
        <w:br/>
        <w:t xml:space="preserve">   ├─ Cuándo: Q1 2026 (continuo)</w:t>
        <w:br/>
        <w:t xml:space="preserve">   ├─ Costo: €40K (plataforma + contenido)</w:t>
        <w:br/>
        <w:t xml:space="preserve">   ├─ Beneficio: Reducción click rate de 25% a 10%</w:t>
        <w:br/>
        <w:t xml:space="preserve">   ├─ Owner: Training Coordinator</w:t>
        <w:br/>
        <w:t xml:space="preserve">   └─ Éxito: "Tasa de reporte real &gt;40% en 6 meses"</w:t>
        <w:br/>
        <w:br/>
        <w:t>═══════════════════════════════════════════════════</w:t>
        <w:br/>
        <w:t>INVERSIÓN TOTAL TOP 5: €450K</w:t>
        <w:br/>
        <w:t>BENEFICIO TOTAL AÑO 1: €1.2M</w:t>
        <w:br/>
        <w:t>ROI COMBINADO: 166%</w:t>
        <w:br/>
      </w:r>
    </w:p>
    <w:p>
      <w:pPr>
        <w:pStyle w:val="Heading2"/>
        <w:keepNext/>
        <w:keepLines/>
      </w:pPr>
      <w:r>
        <w:rPr>
          <w:color w:val="0066CC"/>
        </w:rPr>
        <w:t>DIAPOSITIVAS 17-18: PLANES DETALLADOS + MÉTRICAS DE ÉXITO</w:t>
      </w:r>
    </w:p>
    <w:p>
      <w:r>
        <w:rPr>
          <w:i/>
        </w:rPr>
        <w:t>[Desglose de recursos, cronogramas, KPIs por cada recomendación]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 RECOMENDACIÓN #1 - MERCURY AVRQ</w:t>
        <w:br/>
        <w:br/>
        <w:t>PLAN DETALLADO:</w:t>
        <w:br/>
        <w:br/>
        <w:t>FASE 1: SELECCIÓN E INDUCCIÓN (Semanas 1-2, Costo €15K)</w:t>
        <w:br/>
        <w:t>├─ Demostración de Mercury AVRQ (4 horas)</w:t>
        <w:br/>
        <w:t>├─ Comparativa vs FAIR Institute (2 horas)</w:t>
        <w:br/>
        <w:t>├─ Decision &amp; contratación (3 días)</w:t>
        <w:br/>
        <w:t>└─ Onboarding team (2 días)</w:t>
        <w:br/>
        <w:br/>
        <w:t>FASE 2: IMPLEMENTACIÓN (Semanas 3-8, Costo €40K)</w:t>
        <w:br/>
        <w:t>├─ Valuación de activos críticos (2 semanas)</w:t>
        <w:br/>
        <w:t>├─ Scoring de riesgos (2 semanas)</w:t>
        <w:br/>
        <w:t>├─ Integración con GRC existente (1 semana)</w:t>
        <w:br/>
        <w:t>├─ Training interno (3 días)</w:t>
        <w:br/>
        <w:t>└─ Piloto en 3 dominios de riesgo (1 semana)</w:t>
        <w:br/>
        <w:br/>
        <w:t>FASE 3: OPERACIÓN (Semanas 9+, Costo €25K/año)</w:t>
        <w:br/>
        <w:t>├─ Cálculo continuo de AVRQ para nuevos riesgos</w:t>
        <w:br/>
        <w:t>├─ Reportería ejecutiva trimestral</w:t>
        <w:br/>
        <w:t>├─ Mejora del scoring basada en datos reales</w:t>
        <w:br/>
        <w:t>└─ Integración con Mercury ROI de inversiones</w:t>
        <w:br/>
        <w:br/>
        <w:t>MÉTRICAS DE ÉXITO:</w:t>
        <w:br/>
        <w:br/>
        <w:t>✓ KPI 1: Todos los riesgos críticos cuantificados en € (Target: 100%)</w:t>
        <w:br/>
        <w:t>✓ KPI 2: ROI calculado para 100% de inversiones ciberseguridad</w:t>
        <w:br/>
        <w:t>✓ KPI 3: Junta aprueba presupuesto 2027 basado en AVRQ score</w:t>
        <w:br/>
        <w:t>✓ KPI 4: Reducción de ciclo decisión inversión (Target: -40%)</w:t>
        <w:br/>
        <w:t>✓ KPI 5: Satisfacción CFO con transparencia de riesgos (Target: &gt;8/10)</w:t>
        <w:br/>
        <w:br/>
        <w:t>INDICADORES DE RIESGO (Risk):</w:t>
        <w:br/>
        <w:t>⚠️ Retraso implementación: +10 días → escalado automático</w:t>
        <w:br/>
        <w:t>⚠️ Resistencia interna: Si &lt;70% participación → Plan B</w:t>
        <w:br/>
        <w:t>⚠️ Costo overrun: Si &gt;€100K → Revisar scope</w:t>
        <w:br/>
      </w:r>
    </w:p>
    <w:p>
      <w:pPr>
        <w:pStyle w:val="Heading2"/>
        <w:keepNext/>
        <w:keepLines/>
      </w:pPr>
      <w:r>
        <w:rPr>
          <w:color w:val="0066CC"/>
        </w:rPr>
        <w:t>DIAPOSITIVA 19: RIESGOS DE IMPLEMENTACIÓN Y MITIGACIÓN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¿QUÉ PUEDE SALIR MAL? (Y CÓMO LO EVITAMOS)</w:t>
        <w:br/>
        <w:br/>
        <w:t>┌─ RIESGO #1: Resistencia Organizacional ─────────┐</w:t>
        <w:br/>
        <w:t>│ Escenario: Equipos se niegan a usar Mercury    │</w:t>
        <w:br/>
        <w:t>│ Probabilidad: MEDIA (40%)                      │</w:t>
        <w:br/>
        <w:t>│ Impacto: ALTO (Retraso 6-12 meses)            │</w:t>
        <w:br/>
        <w:t>│ Mitigación:                                    │</w:t>
        <w:br/>
        <w:t>│ • Comunicación ejecutiva clara (por qué)       │</w:t>
        <w:br/>
        <w:t>│ • Demostración de beneficios (ROI tangible)   │</w:t>
        <w:br/>
        <w:t>│ • Training intensivo (2 semanas)               │</w:t>
        <w:br/>
        <w:t>│ • "Early winners" (casos de éxito rápidos)    │</w:t>
        <w:br/>
        <w:t>│ Propiedad: CISO + Cambio Organizacional        │</w:t>
        <w:br/>
        <w:t>└─────────────────────────────────────────────────┘</w:t>
        <w:br/>
        <w:br/>
        <w:t>┌─ RIESGO #2: Complejidad Técnica (Integración) ─┐</w:t>
        <w:br/>
        <w:t>│ Escenario: Mercury no integra bien con GRC   │</w:t>
        <w:br/>
        <w:t>│ Probabilidad: BAJA (15%)                      │</w:t>
        <w:br/>
        <w:t>│ Impacto: MEDIO (Workarounds manuales)        │</w:t>
        <w:br/>
        <w:t>│ Mitigación:                                   │</w:t>
        <w:br/>
        <w:t>│ • PoC (Proof of Concept) antes de full roll  │</w:t>
        <w:br/>
        <w:t>│ • Contingencia: Operación manual si necesario │</w:t>
        <w:br/>
        <w:t>│ • Equipo técnico dedicado (1 FTE)             │</w:t>
        <w:br/>
        <w:t>│ Propiedad: CTO + Arquitectura                 │</w:t>
        <w:br/>
        <w:t>└─────────────────────────────────────────────────┘</w:t>
        <w:br/>
        <w:br/>
        <w:t>┌─ RIESGO #3: Presupuesto Insuficiente ─────────┐</w:t>
        <w:br/>
        <w:t>│ Escenario: CFO aprueba solo 50% de €480K    │</w:t>
        <w:br/>
        <w:t>│ Probabilidad: MEDIA (35%)                    │</w:t>
        <w:br/>
        <w:t>│ Impacto: ALTO (Objetivos no alcanzados)     │</w:t>
        <w:br/>
        <w:t>│ Mitigación:                                  │</w:t>
        <w:br/>
        <w:t>│ • Faseado: Críticas primero (Q1: €230K)    │</w:t>
        <w:br/>
        <w:t>│ • Justificación financiera ROICS (114%)     │</w:t>
        <w:br/>
        <w:t>│ • Alternativa: Servicios gestionados (MSSP) │</w:t>
        <w:br/>
        <w:t>│ Propiedad: CFO + Director Ejecutivo          │</w:t>
        <w:br/>
        <w:t>└─────────────────────────────────────────────────┘</w:t>
        <w:br/>
        <w:br/>
        <w:t>┌─ RIESGO #4: Cambio de Regulación ─────────────┐</w:t>
        <w:br/>
        <w:t>│ Escenario: NIS2 se complica post-enero 2026 │</w:t>
        <w:br/>
        <w:t>│ Probabilidad: BAJA (10%)                    │</w:t>
        <w:br/>
        <w:t>│ Impacto: BAJO (Plans ya alineados)          │</w:t>
        <w:br/>
        <w:t>│ Mitigación:                                 │</w:t>
        <w:br/>
        <w:t>│ • Monitoreo CNCS guidance (mensual)         │</w:t>
        <w:br/>
        <w:t>│ • Flexibilidad en roadmap (15% buffer)      │</w:t>
        <w:br/>
        <w:t>│ Propiedad: Legal + Compliance                │</w:t>
        <w:br/>
        <w:t>└─────────────────────────────────────────────────┘</w:t>
        <w:br/>
        <w:br/>
        <w:t>┌─ RIESGO #5: Incidente Importante Pre-2026 ────┐</w:t>
        <w:br/>
        <w:t>│ Escenario: Breach/ataque mientras mejoramos  │</w:t>
        <w:br/>
        <w:t>│ Probabilidad: MEDIA (20%)                    │</w:t>
        <w:br/>
        <w:t>│ Impacto: CRÍTICO (Reputacional + Legal)     │</w:t>
        <w:br/>
        <w:t>│ Mitigación:                                 │</w:t>
        <w:br/>
        <w:t>│ • No esperar: Implementar parches AHORA     │</w:t>
        <w:br/>
        <w:t>│ • Plan de respuesta (Incident Response)     │</w:t>
        <w:br/>
        <w:t>│ • Seguros cibernéticos actualizados          │</w:t>
        <w:br/>
        <w:t>│ Propiedad: CISO + Seguros + Legal            │</w:t>
        <w:br/>
        <w:t>└─────────────────────────────────────────────────┘</w:t>
        <w:br/>
        <w:br/>
        <w:t>MATRIZ RIESGO-MITIGACIÓN:</w:t>
        <w:br/>
        <w:t>Riesgo Detectado = Propietario Asignado + Acción Inmediata</w:t>
        <w:br/>
        <w:t>Escalación: Si probabilidad sube &gt;50% → Reunión ejecutiva</w:t>
        <w:br/>
      </w:r>
    </w:p>
    <w:p>
      <w:pPr>
        <w:pStyle w:val="Heading2"/>
        <w:keepNext/>
        <w:keepLines/>
      </w:pPr>
      <w:r>
        <w:rPr>
          <w:color w:val="0066CC"/>
        </w:rPr>
        <w:t>DIAPOSITIVA 20: CONCLUSIONES Y PRÓXIMOS PASOS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SÍNTESIS EJECUTIVA: LO QUE NECESITAS SABER</w:t>
        <w:br/>
        <w:br/>
        <w:t>✓ Tu organización está en TIER 3 (Establecido)</w:t>
        <w:br/>
        <w:t>✓ Posición MEJOR al promedio español (+0.4 vs mediana)</w:t>
        <w:br/>
        <w:t>✓ PERO: Riesgos regulatorios críticos sin mitigar</w:t>
        <w:br/>
        <w:t>✓ Inversión de €480K genera €1.2M+ beneficio/año (114% ROI)</w:t>
        <w:br/>
        <w:t>✓ Cumplimiento NIS2 es OBLIGATORIO, no opcional</w:t>
        <w:br/>
        <w:br/>
        <w:t>════════════════════════════════════════════════</w:t>
        <w:br/>
        <w:br/>
        <w:t>LÍNEA DE ACCIÓN (PRÓXIMAS 2 SEMANAS):</w:t>
        <w:br/>
        <w:br/>
        <w:t>□ Lunes: Presentar este reporte a Junta Directiva</w:t>
        <w:br/>
        <w:t>□ Martes: Aprobar presupuesto de €480K 2026</w:t>
        <w:br/>
        <w:t>□ Miércoles: Asignar propietarios (CISO, CTO, CFO)</w:t>
        <w:br/>
        <w:t>□ Jueves: Kickoff con Mercury AVRQ provider</w:t>
        <w:br/>
        <w:t>□ Viernes: Comunicación a equipo de ciberseguridad</w:t>
        <w:br/>
        <w:br/>
        <w:t>════════════════════════════════════════════════</w:t>
        <w:br/>
        <w:br/>
        <w:t>MEDIDAS INMEDIATAS (Q1 2026):</w:t>
        <w:br/>
        <w:br/>
        <w:t>✓ Iniciar Mercury AVRQ implementación</w:t>
        <w:br/>
        <w:t>✓ Registrar ante CNCS si somos EE/EI</w:t>
        <w:br/>
        <w:t>✓ Aumentar capacidad SIEM (personal)</w:t>
        <w:br/>
        <w:t>✓ Aprobar fondo de contingencia (10% presupuesto)</w:t>
        <w:br/>
        <w:t>✓ Re-encuesta organizacional (baselining)</w:t>
        <w:br/>
        <w:br/>
        <w:t>════════════════════════════════════════════════</w:t>
        <w:br/>
        <w:br/>
        <w:t>VIABILIDAD: ¿Es alcanzable?</w:t>
        <w:br/>
        <w:br/>
        <w:t>SÍ. Porque:</w:t>
        <w:br/>
        <w:t>• Fundamentals ya están (TIER 3, no Tier 1)</w:t>
        <w:br/>
        <w:t>• ROI es positivo (114% justifica inversión)</w:t>
        <w:br/>
        <w:t>• Timeline es realista (24 meses a Tier 4)</w:t>
        <w:br/>
        <w:t>• Regulación fuerza urgencia (Q1 2026)</w:t>
        <w:br/>
        <w:t>• Mercado ofrece soluciones (Mercury, SIEM, tools)</w:t>
        <w:br/>
        <w:br/>
        <w:t>NO es recomendable:</w:t>
        <w:br/>
        <w:t>• Posponerse (sanciones NIS2 inminentes)</w:t>
        <w:br/>
        <w:t>• Enfoque tecnología-only (governance primero)</w:t>
        <w:br/>
        <w:t>• Desconfiar de números (ROICS validado)</w:t>
        <w:br/>
        <w:br/>
        <w:t>════════════════════════════════════════════════</w:t>
        <w:br/>
        <w:br/>
        <w:t>RESPONSABLE DE EJECUCIÓN: CISO</w:t>
        <w:br/>
        <w:t>Reporta a: Junta Directiva (trimestral)</w:t>
        <w:br/>
        <w:t>Budget Holder: CFO</w:t>
        <w:br/>
        <w:t>Sponsor Ejecutivo: CEO</w:t>
        <w:br/>
        <w:br/>
        <w:t>FECHA PRÓXIMA REVISIÓN: 31 Marzo 2026</w:t>
        <w:br/>
        <w:t>(Evaluación de progreso Q1)</w:t>
        <w:br/>
        <w:br/>
        <w:t>════════════════════════════════════════════════</w:t>
        <w:br/>
        <w:br/>
        <w:t>PREGUNTAS CLAVE PARA EL DIRECTOR EJECUTIVO:</w:t>
        <w:br/>
        <w:br/>
        <w:t>P: "¿Si no hacemos esto, qué pasa?"</w:t>
        <w:br/>
        <w:t>R: "Multa NIS2 €7-10M + reputacional, vs. inversión</w:t>
        <w:br/>
        <w:t xml:space="preserve">    €480K (0.06% en comparación). Sin opción."</w:t>
        <w:br/>
        <w:br/>
        <w:t>P: "¿Qué pasa si no tenemos presupuesto?"</w:t>
        <w:br/>
        <w:t>R: "ROI 114% permite autofinanciamiento. O faseado:</w:t>
        <w:br/>
        <w:t xml:space="preserve">    €230K Q1 crítico, resto en Q2-Q4."</w:t>
        <w:br/>
        <w:br/>
        <w:t>P: "¿Cuánto tiempo hasta estar "seguro"?"</w:t>
        <w:br/>
        <w:t>R: "Nunca. Pero en 24 meses estaremos en Tier 4,</w:t>
        <w:br/>
        <w:t xml:space="preserve">    reduciendo riesgo crítico de 40% → 10%."</w:t>
        <w:br/>
        <w:br/>
        <w:t>════════════════════════════════════════════════</w:t>
        <w:br/>
        <w:br/>
        <w:t>DOCUMENTO: CONFIDENCIAL - DISTRIBUCIÓN RESTRINGIDA</w:t>
        <w:br/>
        <w:t>Próximo reporte: Marzo 2026 (Evaluación Interim)</w:t>
        <w:br/>
        <w:br/>
        <w:t>¿APROBACIÓN DE JUNTA PARA PROCEDER?</w:t>
        <w:br/>
        <w:t>[ ] SÍ - Asignar presupuesto y recursos</w:t>
        <w:br/>
        <w:t>[ ] CONDICIONAL - Revisión adicional requerida</w:t>
        <w:br/>
        <w:t>[ ] NO - Requiere justificación alternativa</w:t>
        <w:br/>
        <w:br/>
        <w:t>_______________________        _________________</w:t>
        <w:br/>
        <w:t>CISO                          DIRECTOR EJECUTIVO</w:t>
        <w:br/>
        <w:t>Fecha: [  /  /2026]          Fecha: [  /  /2026]</w:t>
        <w:br/>
      </w:r>
    </w:p>
    <w:p>
      <w:pPr>
        <w:pStyle w:val="Heading2"/>
        <w:keepNext/>
        <w:keepLines/>
      </w:pPr>
      <w:r>
        <w:rPr>
          <w:color w:val="0066CC"/>
        </w:rPr>
        <w:t>ESPECIFICACIONES TÉCNICAS POWERPOINT</w:t>
      </w:r>
    </w:p>
    <w:p>
      <w:pPr>
        <w:pStyle w:val="Heading3"/>
        <w:keepNext/>
        <w:keepLines/>
      </w:pPr>
      <w:r>
        <w:t>Plantilla Visual:</w:t>
      </w:r>
    </w:p>
    <w:p>
      <w:pPr>
        <w:pStyle w:val="ListBullet"/>
        <w:keepLines w:val="1"/>
        <w:keepNext w:val="1"/>
        <w:widowControl w:val="1"/>
      </w:pPr>
      <w:r>
        <w:t>Tema: Azul corporativo + Acentos naranja</w:t>
      </w:r>
    </w:p>
    <w:p>
      <w:pPr>
        <w:pStyle w:val="ListBullet"/>
        <w:keepLines w:val="1"/>
        <w:keepNext w:val="1"/>
        <w:widowControl w:val="1"/>
      </w:pPr>
      <w:r>
        <w:t>Fuente: Calibri (títulos), Tahoma (contenido)</w:t>
      </w:r>
    </w:p>
    <w:p>
      <w:pPr>
        <w:pStyle w:val="ListBullet"/>
        <w:keepLines w:val="1"/>
        <w:keepNext w:val="1"/>
        <w:widowControl w:val="1"/>
      </w:pPr>
      <w:r>
        <w:t>Tamaño: 16:9 widescreen (1920x1080)</w:t>
      </w:r>
    </w:p>
    <w:p>
      <w:pPr>
        <w:pStyle w:val="ListBullet"/>
        <w:keepLines w:val="1"/>
        <w:keepNext w:val="1"/>
        <w:widowControl w:val="1"/>
      </w:pPr>
      <w:r>
        <w:t>Paleta:</w:t>
      </w:r>
    </w:p>
    <w:p>
      <w:pPr>
        <w:pStyle w:val="ListBullet"/>
        <w:keepLines w:val="1"/>
        <w:keepNext w:val="1"/>
        <w:widowControl w:val="1"/>
      </w:pPr>
      <w:r>
        <w:t>🟢 Verde: Conforme / Bueno (RGB: 34, 177, 76)</w:t>
      </w:r>
    </w:p>
    <w:p>
      <w:pPr>
        <w:pStyle w:val="ListBullet"/>
        <w:keepLines w:val="1"/>
        <w:keepNext w:val="1"/>
        <w:widowControl w:val="1"/>
      </w:pPr>
      <w:r>
        <w:t>🟠 Naranja: Aceptable / Mejora (RGB: 255, 153, 0)</w:t>
      </w:r>
    </w:p>
    <w:p>
      <w:pPr>
        <w:pStyle w:val="ListBullet"/>
        <w:keepLines w:val="1"/>
        <w:widowControl w:val="1"/>
      </w:pPr>
      <w:r>
        <w:t>🔴 Rojo: Crítico / Requiere acción (RGB: 231, 76, 60)</w:t>
      </w:r>
    </w:p>
    <w:p>
      <w:pPr>
        <w:pStyle w:val="Heading3"/>
        <w:keepNext/>
        <w:keepLines/>
      </w:pPr>
      <w:r>
        <w:t>Gráficos Recomendados:</w:t>
      </w:r>
    </w:p>
    <w:p>
      <w:pPr>
        <w:pStyle w:val="ListBullet"/>
        <w:keepLines w:val="1"/>
        <w:keepNext w:val="1"/>
        <w:widowControl w:val="1"/>
      </w:pPr>
      <w:r>
        <w:t>Radar (dominios)</w:t>
      </w:r>
    </w:p>
    <w:p>
      <w:pPr>
        <w:pStyle w:val="ListBullet"/>
        <w:keepLines w:val="1"/>
        <w:keepNext w:val="1"/>
        <w:widowControl w:val="1"/>
      </w:pPr>
      <w:r>
        <w:t>Barras horizontales (brechas)</w:t>
      </w:r>
    </w:p>
    <w:p>
      <w:pPr>
        <w:pStyle w:val="ListBullet"/>
        <w:keepLines w:val="1"/>
        <w:keepNext w:val="1"/>
        <w:widowControl w:val="1"/>
      </w:pPr>
      <w:r>
        <w:t>Líneas (timeline)</w:t>
      </w:r>
    </w:p>
    <w:p>
      <w:pPr>
        <w:pStyle w:val="ListBullet"/>
        <w:keepLines w:val="1"/>
        <w:widowControl w:val="1"/>
      </w:pPr>
      <w:r>
        <w:t>Tablas (matriz)</w:t>
      </w:r>
    </w:p>
    <w:p>
      <w:pPr>
        <w:pStyle w:val="Heading3"/>
        <w:keepNext/>
        <w:keepLines/>
      </w:pPr>
      <w:r>
        <w:t>Anotaciones para Orador:</w:t>
      </w:r>
    </w:p>
    <w:p>
      <w:r>
        <w:t>Cada diapositiva incluye notas con:</w:t>
      </w:r>
      <w:r/>
      <w:r>
        <w:br/>
        <w:t>- Puntos clave a enfatizar</w:t>
      </w:r>
      <w:r/>
      <w:r>
        <w:br/>
        <w:t>- Anticipación de preguntas</w:t>
      </w:r>
      <w:r/>
      <w:r>
        <w:br/>
        <w:t>- Duración recomendada</w:t>
      </w:r>
      <w:r/>
      <w:r>
        <w:br/>
        <w:t>- Llamadas a la acción</w:t>
      </w:r>
    </w:p>
    <w:p>
      <w:r>
        <w:rPr>
          <w:b/>
        </w:rPr>
        <w:t>Fin de Plantilla PowerPoint</w:t>
      </w:r>
    </w:p>
    <w:p>
      <w:r>
        <w:rPr>
          <w:i/>
        </w:rPr>
        <w:t>Documento base para crear presentación ejecutiva con 20 diapositivas profesionales.</w:t>
      </w:r>
    </w:p>
    <w:p>
      <w:r>
        <w:rPr>
          <w:b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