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EXCEL: CÁLCULO DE IGM Y ROI</w:t>
      </w:r>
    </w:p>
    <w:p>
      <w:r>
        <w:rPr>
          <w:b/>
        </w:rPr>
        <w:t>Guía para Implementación de Spreadsheet de Medición y Análisis de Retorno</w:t>
      </w:r>
    </w:p>
    <w:p>
      <w:r>
        <w:rPr>
          <w:b/>
        </w:rPr>
        <w:t>Versión</w:t>
      </w:r>
      <w:r>
        <w:t>: 1.0</w:t>
      </w:r>
      <w:r/>
      <w:r>
        <w:br/>
      </w:r>
      <w:r>
        <w:rPr>
          <w:b/>
        </w:rPr>
        <w:t>Fecha</w:t>
      </w:r>
      <w:r>
        <w:t>: Enero 21, 2026</w:t>
      </w:r>
      <w:r/>
      <w:r>
        <w:br/>
      </w:r>
      <w:r>
        <w:rPr>
          <w:b/>
        </w:rPr>
        <w:t>Formato</w:t>
      </w:r>
      <w:r>
        <w:t>: Especificación Markdown para Excel/Google Sheets</w:t>
      </w:r>
      <w:r/>
      <w:r>
        <w:br/>
      </w:r>
      <w:r>
        <w:rPr>
          <w:b/>
        </w:rPr>
        <w:t>Objetivo</w:t>
      </w:r>
      <w:r>
        <w:t>: Automatizar cálculo de Índice de Gestión de Madurez (IGM) y ROI</w:t>
      </w:r>
    </w:p>
    <w:p>
      <w:pPr>
        <w:pStyle w:val="Heading2"/>
        <w:keepNext/>
        <w:keepLines/>
      </w:pPr>
      <w:r>
        <w:rPr>
          <w:color w:val="0066CC"/>
        </w:rPr>
        <w:t>INTRODUCCIÓN</w:t>
      </w:r>
    </w:p>
    <w:p>
      <w:r>
        <w:t>Este documento describe las fórmulas y estructura de una plantilla Excel para:</w:t>
      </w:r>
    </w:p>
    <w:p>
      <w:pPr>
        <w:pStyle w:val="ListNumber"/>
        <w:keepLines w:val="1"/>
        <w:keepNext w:val="1"/>
        <w:widowControl w:val="1"/>
      </w:pPr>
      <w:r>
        <w:t>IGM (Índice de Gestión de Madurez): Score BSIMM15 en escala 0-100</w:t>
      </w:r>
    </w:p>
    <w:p>
      <w:pPr>
        <w:pStyle w:val="ListNumber"/>
        <w:keepLines w:val="1"/>
        <w:keepNext w:val="1"/>
        <w:widowControl w:val="1"/>
      </w:pPr>
      <w:r>
        <w:t>ROI (Return on Investment): Retorno por inversión en cada iniciativa</w:t>
      </w:r>
    </w:p>
    <w:p>
      <w:pPr>
        <w:pStyle w:val="ListNumber"/>
        <w:keepLines w:val="1"/>
        <w:keepNext w:val="1"/>
        <w:widowControl w:val="1"/>
      </w:pPr>
      <w:r>
        <w:t>KPI Dashboard: Seguimiento trimestral de progreso</w:t>
      </w:r>
    </w:p>
    <w:p>
      <w:pPr>
        <w:pStyle w:val="ListNumber"/>
        <w:keepLines w:val="1"/>
        <w:widowControl w:val="1"/>
      </w:pPr>
      <w:r>
        <w:t>Comparativo: Baseline vs. Target vs. Actual</w:t>
      </w:r>
    </w:p>
    <w:p>
      <w:pPr>
        <w:pStyle w:val="Heading2"/>
        <w:keepNext/>
        <w:keepLines/>
      </w:pPr>
      <w:r>
        <w:rPr>
          <w:color w:val="0066CC"/>
        </w:rPr>
        <w:t>ESTRUCTURA DE HOJAS EXCEL</w:t>
      </w:r>
    </w:p>
    <w:p>
      <w:pPr>
        <w:pStyle w:val="Heading3"/>
        <w:keepNext/>
        <w:keepLines/>
      </w:pPr>
      <w:r>
        <w:t>Hoja 1: DATOS DE ENTRADA (Input Sheet)</w:t>
      </w:r>
    </w:p>
    <w:p>
      <w:pPr>
        <w:pStyle w:val="Heading4"/>
        <w:keepNext/>
        <w:keepLines/>
      </w:pPr>
      <w:r>
        <w:t>Columna A-E: Actividades BSIMM15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A: ID | B: Actividad | C: Práctica | D: PRAGMATIC | E: Status |</w:t>
        <w:br/>
        <w:t>|-------|---|---|---|---|</w:t>
        <w:br/>
        <w:t>| SM1.1 | Crear Estrategia | Strategy | 81 | Q1 |</w:t>
        <w:br/>
        <w:t>| SM1.2 | Medir Éxito | Strategy | 88 | Q1 |</w:t>
        <w:br/>
        <w:t>| SM1.4 | Checkpoints | Strategy | 89 | Q1 |</w:t>
        <w:br/>
        <w:t>| PC2.2 | Policy Enforce | Process | 84 | Q1 |</w:t>
        <w:br/>
        <w:t>| EM1.3 | Dashboard | Metrics | 84 | Q2 |</w:t>
        <w:br/>
        <w:t>| CR1.4 | SAST Tools | Code Review | 91 | Q1 |</w:t>
        <w:br/>
        <w:t>| CR1.5 | SCA | Code Review | 88 | Q2 |</w:t>
        <w:br/>
        <w:t>| AA1.1 | Threat Model | Architecture | 81 | Q2 |</w:t>
        <w:br/>
        <w:t>| CM1.1 | IR Interface | Compliance | 87 | Q1 |</w:t>
        <w:br/>
        <w:t>| ST1.1 | DAST | Testing | 81 | Q2 |</w:t>
        <w:br/>
        <w:t>| ST2.1 | Pentesting | Testing | 77 | Q3 |</w:t>
        <w:br/>
        <w:t>| DM1.1 | Infra Auto | Deployment | 89 | Q1 |</w:t>
        <w:br/>
        <w:t>| DM2.2 | SBOM Risk | Deployment | 76 | Q3 |</w:t>
        <w:br/>
        <w:t>| ... | ... | ... | ... | ... |</w:t>
        <w:br/>
      </w:r>
    </w:p>
    <w:p>
      <w:pPr>
        <w:pStyle w:val="Heading4"/>
        <w:keepNext/>
        <w:keepLines/>
      </w:pPr>
      <w:r>
        <w:t>Columna F-J: Scorecard de Implementación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F: Baseline | G: Target | H: Actual | I: % Progress | J: Owner |</w:t>
        <w:br/>
        <w:t>|---|---|---|---|---|</w:t>
        <w:br/>
        <w:t>| 0 | 1 | 0 | 0% | John (CISO) |</w:t>
        <w:br/>
        <w:t>| 0 | 1 | 1 | 100% | Maria (Dev) |</w:t>
        <w:br/>
        <w:t>| 0 | 1 | 1 | 100% | Carlos (Ops) |</w:t>
        <w:br/>
        <w:t>| 0 | 1 | 0 | 0% | Ana (Audit) |</w:t>
        <w:br/>
        <w:t>| 0 | 1 | 0 | 0% | Luis (Metrics) |</w:t>
        <w:br/>
        <w:t>| 0 | 1 | 1 | 100% | Maria (SAST) |</w:t>
        <w:br/>
        <w:t>| 0 | 1 | 0 | 0% | Pedro (Supply Chain) |</w:t>
        <w:br/>
        <w:t>| 0 | 1 | 0 | 0% | Sofia (Design) |</w:t>
        <w:br/>
        <w:t>| 0 | 1 | 1 | 100% | Carlos (IR) |</w:t>
        <w:br/>
        <w:t>| 0 | 1 | 0 | 0% | Miguel (Testing) |</w:t>
        <w:br/>
        <w:t>| 0 | 1 | 0 | 0% | Miguel (Pentest) |</w:t>
        <w:br/>
        <w:t>| 0 | 1 | 1 | 100% | Carlos (Infra) |</w:t>
        <w:br/>
        <w:t>| 0 | 1 | 0 | 0% | Pedro (Supply) |</w:t>
        <w:br/>
      </w:r>
    </w:p>
    <w:p>
      <w:pPr>
        <w:pStyle w:val="Heading4"/>
        <w:keepNext/>
        <w:keepLines/>
      </w:pPr>
      <w:r>
        <w:t>Columna K-O: Datos Financieros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K: Cost Estimate | L: Actual Cost | M: Cost Status | N: Budget Variance | O: Notes |</w:t>
        <w:br/>
        <w:t>|---|---|---|---|---|</w:t>
        <w:br/>
        <w:t>| €5,000 | €4,800 | On-track | -4% | Internal effort |</w:t>
        <w:br/>
        <w:t>| €3,000 | €3,200 | On-track | +7% | Tool license |</w:t>
        <w:br/>
        <w:t>| €2,000 | €2,100 | On-track | +5% | Implementation |</w:t>
        <w:br/>
        <w:t>| €1,500 | €0 | Not started | N/A | Pending |</w:t>
        <w:br/>
        <w:t>| €2,500 | €0 | Not started | N/A | Q2 |</w:t>
        <w:br/>
        <w:t>| €3,000 | €3,100 | On-track | +3% | SAST tuning |</w:t>
        <w:br/>
        <w:t>| €20,000 | €0 | Not started | N/A | Q2 |</w:t>
        <w:br/>
        <w:t>| €8,000 | €0 | Not started | N/A | Q2 |</w:t>
        <w:br/>
        <w:t>| €4,000 | €4,200 | On-track | +5% | IR playbook |</w:t>
        <w:br/>
        <w:t>| €5,000 | €0 | Not started | N/A | Q2 |</w:t>
        <w:br/>
        <w:t>| €12,000 | €0 | Not started | N/A | Q3 |</w:t>
        <w:br/>
        <w:t>| €8,000 | €8,500 | Over budget | +6% | IaC tools |</w:t>
        <w:br/>
        <w:t>| €15,000 | €0 | Not started | N/A | Q3 |</w:t>
        <w:br/>
      </w:r>
    </w:p>
    <w:p>
      <w:pPr>
        <w:pStyle w:val="Heading3"/>
        <w:keepNext/>
        <w:keepLines/>
      </w:pPr>
      <w:r>
        <w:t>Hoja 2: IGM CALCULATION (Score Calculation)</w:t>
      </w:r>
    </w:p>
    <w:p>
      <w:pPr>
        <w:pStyle w:val="Heading4"/>
        <w:keepNext/>
        <w:keepLines/>
      </w:pPr>
      <w:r>
        <w:t>Sección A: Cálculo por Dominio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DOMINIO: GOVERNANCE</w:t>
        <w:br/>
        <w:br/>
        <w:t>| Actividad | ID | PRAGMATIC | Implementada (S/N) | Score |</w:t>
        <w:br/>
        <w:t>|---|---|---|---|---|</w:t>
        <w:br/>
        <w:t>| Strategy &amp; Metrics | SM* | 85 (avg) | S (4/8) | 42.5 |</w:t>
        <w:br/>
        <w:t>| Process Compliance | PC* | 82 (avg) | S (1/2) | 41 |</w:t>
        <w:br/>
        <w:t>| Organization | O* | 80 (avg) | N (0/2) | 0 |</w:t>
        <w:br/>
        <w:t>| Enforce Metrics | EM* | 81 (avg) | N (0/3) | 0 |</w:t>
        <w:br/>
        <w:t>| **SUBTOTAL GOVERNANCE** | | | | **83.5 / 4 = 20.9 pts** |</w:t>
        <w:br/>
        <w:br/>
        <w:t>DOMINIO: INTELLIGENCE</w:t>
        <w:br/>
        <w:br/>
        <w:t>| Práctica | Score Actual | Score Target | Progress |</w:t>
        <w:br/>
        <w:t>|---|---|---|---|</w:t>
        <w:br/>
        <w:t>| Code Review (CR) | 28 | 29 | 97% |</w:t>
        <w:br/>
        <w:t>| Architecture (AA) | 8 | 10 | 80% |</w:t>
        <w:br/>
        <w:t>| Compliance (CM) | 9 | 10 | 90% |</w:t>
        <w:br/>
        <w:t>| Secure Dev (SG) | 0 | 8 | 0% |</w:t>
        <w:br/>
        <w:t>| **SUBTOTAL INTELLIGENCE** | **45** | **57** | **79%** |</w:t>
        <w:br/>
        <w:br/>
        <w:t>DOMINIO: SSDL TOUCHPOINTS</w:t>
        <w:br/>
        <w:br/>
        <w:t>| Práctica | Score Actual | Score Target | Progress |</w:t>
        <w:br/>
        <w:t>|---|---|---|---|</w:t>
        <w:br/>
        <w:t>| Security Testing | 8 | 15 | 53% |</w:t>
        <w:br/>
        <w:t>| **SUBTOTAL TOUCHPOINTS** | **8** | **15** | **53%** |</w:t>
        <w:br/>
        <w:br/>
        <w:t>DOMINIO: DEPLOYMENT</w:t>
        <w:br/>
        <w:br/>
        <w:t>| Práctica | Score Actual | Score Target | Progress |</w:t>
        <w:br/>
        <w:t>|---|---|---|---|</w:t>
        <w:br/>
        <w:t>| Deployment Management | 10 | 18 | 56% |</w:t>
        <w:br/>
        <w:t>| **SUBTOTAL DEPLOYMENT** | **10** | **18** | **56%** |</w:t>
        <w:br/>
        <w:br/>
        <w:t>**GRAND TOTAL IGM**:</w:t>
        <w:br/>
        <w:t>- **Baseline**: 56 puntos (L2)</w:t>
        <w:br/>
        <w:t>- **Actual Q1**: 56 + 20.9 = **76.9 puntos** (L3)</w:t>
        <w:br/>
        <w:t>- **Target 2026**: 70 puntos (L3)</w:t>
        <w:br/>
        <w:t>- **Status**: On-track</w:t>
        <w:br/>
      </w:r>
    </w:p>
    <w:p>
      <w:pPr>
        <w:pStyle w:val="Heading4"/>
        <w:keepNext/>
        <w:keepLines/>
      </w:pPr>
      <w:r>
        <w:t>Sección B: Escala de Madurez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Score | Nivel | Descripción | Status |</w:t>
        <w:br/>
        <w:t>|-------|-------|---|---|</w:t>
        <w:br/>
        <w:t>| 0-20 | L0 | Inexistente | ❌ |</w:t>
        <w:br/>
        <w:t>| 21-40 | L1 | Iniciado (ad-hoc) | ❌ |</w:t>
        <w:br/>
        <w:t>| 41-60 | L2 | Establecido (documented) | ✅ Baseline |</w:t>
        <w:br/>
        <w:t>| 61-80 | L3 | Operativo (measured) | ⚠️ Target |</w:t>
        <w:br/>
        <w:t>| 81-95 | L4 | Gestionado (managed) | ⚠️ Aspiración |</w:t>
        <w:br/>
        <w:t>| 96-100 | L5 | Optimizado (optimized) | ❌ |</w:t>
        <w:br/>
      </w:r>
    </w:p>
    <w:p>
      <w:pPr>
        <w:pStyle w:val="Heading4"/>
        <w:keepNext/>
        <w:keepLines/>
      </w:pPr>
      <w:r>
        <w:t>Sección C: Comparativo Trimestral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Trimestre | Score Baseline | Score Actual | Delta | % Progress | On-Track |</w:t>
        <w:br/>
        <w:t>|---|---|---|---|---|---|</w:t>
        <w:br/>
        <w:t>| Q0 (Baseline) | — | 56 | — | — | — |</w:t>
        <w:br/>
        <w:t>| Q1 2026 | 56 | 71 | +15 | +27% | ✅ |</w:t>
        <w:br/>
        <w:t>| Q2 2026 | 56 | 81 | +25 | +45% | ✅ |</w:t>
        <w:br/>
        <w:t>| Q3 2026 | 56 | 88 | +32 | +57% | ⚠️ |</w:t>
        <w:br/>
        <w:t>| Q4 2026 | 56 | 90+ | +34+ | +60%+ | ✅ |</w:t>
        <w:br/>
        <w:t>| Target | — | 70 | +14 | +25% | ✅ |</w:t>
        <w:br/>
      </w:r>
    </w:p>
    <w:p>
      <w:pPr>
        <w:pStyle w:val="Heading3"/>
        <w:keepNext/>
        <w:keepLines/>
      </w:pPr>
      <w:r>
        <w:t>Hoja 3: ROI ANALYSIS (Return on Investment)</w:t>
      </w:r>
    </w:p>
    <w:p>
      <w:pPr>
        <w:pStyle w:val="Heading4"/>
        <w:keepNext/>
        <w:keepLines/>
      </w:pPr>
      <w:r>
        <w:t>Sección A: Análisis por Iniciativa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INICIATIVA: CR1.4 SAST Tools Implementation</w:t>
        <w:br/>
        <w:br/>
        <w:t>| Concepto | Valor | Fórmula |</w:t>
        <w:br/>
        <w:t>|----------|-------|---------|</w:t>
        <w:br/>
        <w:t>| **INVERSIÓN** | | |</w:t>
        <w:br/>
        <w:t>| Herramientas (licencia anual) | €6,000 | Fixed cost |</w:t>
        <w:br/>
        <w:t>| Implementación/Training | €2,000 | Internal hours |</w:t>
        <w:br/>
        <w:t>| Integración CI/CD | €1,500 | External service |</w:t>
        <w:br/>
        <w:t>| Maintenance anual | €1,500 | Support |</w:t>
        <w:br/>
        <w:t>| **TOTAL INVERSIÓN ANUAL** | **€11,000** | Sum |</w:t>
        <w:br/>
        <w:br/>
        <w:t>| Beneficio | Estimado | Cálculo |</w:t>
        <w:br/>
        <w:t>|-----------|----------|---------|</w:t>
        <w:br/>
        <w:t>| **BENEFICIOS** | | |</w:t>
        <w:br/>
        <w:t>| Vulnerabilidades detectadas (evitadas en prod) | 45/año | 87.6% coverage × code volume |</w:t>
        <w:br/>
        <w:t>| Costo típico breach por vuln no detectada | €50,000 | Industry average |</w:t>
        <w:br/>
        <w:t>| Breach evitados (esperado) | 3/año | 45 vuln × 6.7% conversion |</w:t>
        <w:br/>
        <w:t>| Costo breach evitado | €150,000/año | 3 breach × €50k |</w:t>
        <w:br/>
        <w:t>| Costo remedición reducida | €30,000/año | Faster detection → lower cost |</w:t>
        <w:br/>
        <w:t>| Downtime prevenido | €25,000/año | 2 incidents × €12.5k |</w:t>
        <w:br/>
        <w:t>| **TOTAL BENEFICIOS ANUALES** | **€205,000** | Sum |</w:t>
        <w:br/>
        <w:br/>
        <w:t>| Métrica | Valor |</w:t>
        <w:br/>
        <w:t>|--------|-------|</w:t>
        <w:br/>
        <w:t>| **ROI %** | **(205,000 - 11,000) / 11,000 × 100** = **1,864%** |</w:t>
        <w:br/>
        <w:t>| **Payback Period** | **11,000 / (205,000 / 12)** = **0.65 meses** |</w:t>
        <w:br/>
        <w:t>| **NPV (Net Present Value)** | €194,000 (Year 1) |</w:t>
        <w:br/>
        <w:t>| **IRR (Internal Rate of Return)** | **1,864%** |</w:t>
        <w:br/>
        <w:t>| **Status** | ✅ **EXCELENTE ROI** |</w:t>
        <w:br/>
      </w:r>
    </w:p>
    <w:p>
      <w:pPr>
        <w:pStyle w:val="Heading4"/>
        <w:keepNext/>
        <w:keepLines/>
      </w:pPr>
      <w:r>
        <w:t>Sección B: Consolidado Multi-Iniciativas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ROADMAP CONSOLIDADO 2026</w:t>
        <w:br/>
        <w:br/>
        <w:t>| Iniciativa | Q | Costo | Beneficio Anual | ROI | Payback |</w:t>
        <w:br/>
        <w:t>|---|---|---|---|---|---|</w:t>
        <w:br/>
        <w:t>| SAST Tools | Q1 | €11k | €205k | 1,864% | 0.6 m |</w:t>
        <w:br/>
        <w:t>| Checkpoints | Q1 | €5k | €80k | 1,500% | 0.7 m |</w:t>
        <w:br/>
        <w:t>| Dashboard | Q1 | €2k | €40k | 1,900% | 0.6 m |</w:t>
        <w:br/>
        <w:t>| Infra Auto | Q1 | €8k | €95k | 1,087% | 1.0 m |</w:t>
        <w:br/>
        <w:t>| **Q1 TOTAL** | | **€26k** | **€420k** | **1,515%** | **0.7 m** |</w:t>
        <w:br/>
        <w:t>| FAIR | Q2 | €15k | €120k | 700% | 1.5 m |</w:t>
        <w:br/>
        <w:t>| SCA | Q2 | €20k | €150k | 650% | 1.6 m |</w:t>
        <w:br/>
        <w:t>| SOAR | Q2 | €30k | €200k | 567% | 1.8 m |</w:t>
        <w:br/>
        <w:t>| **Q2 TOTAL** | | **€65k** | **€470k** | **623%** | **1.6 m** |</w:t>
        <w:br/>
        <w:t>| Pentesting | Q3 | €12k | €90k | 650% | 1.6 m |</w:t>
        <w:br/>
        <w:t>| SBOM | Q3 | €15k | €80k | 433% | 2.2 m |</w:t>
        <w:br/>
        <w:t>| Red Team | Q3 | €50k | €150k | 200% | 4.0 m |</w:t>
        <w:br/>
        <w:t>| **Q3 TOTAL** | | **€77k** | **€320k** | **315%** | **2.9 m** |</w:t>
        <w:br/>
        <w:t>| **TOTAL 2026** | | **€168k** | **€1.21M** | **619%** | **3.3 m** |</w:t>
        <w:br/>
        <w:t>| **TOTAL WITH BASELINE** | | **€258k** | **€1.21M** | **368%** | **2.5 m** |</w:t>
        <w:br/>
      </w:r>
    </w:p>
    <w:p>
      <w:pPr>
        <w:pStyle w:val="Heading4"/>
        <w:keepNext/>
        <w:keepLines/>
      </w:pPr>
      <w:r>
        <w:t>Sección C: Análisis Sensibilidad (Scenarios)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ESCENARIO 1: OPTIMISTA (Beneficios +30%)</w:t>
        <w:br/>
        <w:br/>
        <w:t>| Métrica | Baseline | Optimista |</w:t>
        <w:br/>
        <w:t>|---------|----------|-----------|</w:t>
        <w:br/>
        <w:t>| Total Inversión | €258k | €258k |</w:t>
        <w:br/>
        <w:t>| Total Beneficios | €1.21M | €1.57M |</w:t>
        <w:br/>
        <w:t>| ROI | 368% | 508% |</w:t>
        <w:br/>
        <w:t>| Payback | 2.5 m | 1.9 m |</w:t>
        <w:br/>
        <w:br/>
        <w:t>ESCENARIO 2: PESIMISTA (Beneficios -30%)</w:t>
        <w:br/>
        <w:br/>
        <w:t>| Métrica | Baseline | Pesimista |</w:t>
        <w:br/>
        <w:t>|---------|----------|-----------|</w:t>
        <w:br/>
        <w:t>| Total Inversión | €258k | €258k |</w:t>
        <w:br/>
        <w:t>| Total Beneficios | €1.21M | €0.85M |</w:t>
        <w:br/>
        <w:t>| ROI | 368% | 229% |</w:t>
        <w:br/>
        <w:t>| Payback | 2.5 m | 3.6 m |</w:t>
        <w:br/>
        <w:br/>
        <w:t>ESCENARIO 3: CONSERVADOR (Beneficios -50%)</w:t>
        <w:br/>
        <w:br/>
        <w:t>| Métrica | Baseline | Conservador |</w:t>
        <w:br/>
        <w:t>|---------|----------|-----------|</w:t>
        <w:br/>
        <w:t>| Total Inversión | €258k | €258k |</w:t>
        <w:br/>
        <w:t>| Total Beneficios | €1.21M | €0.60M |</w:t>
        <w:br/>
        <w:t>| ROI | 368% | 133% |</w:t>
        <w:br/>
        <w:t>| Payback | 2.5 m | 5.2 m |</w:t>
        <w:br/>
        <w:br/>
        <w:t>**CONCLUSIÓN**: Incluso en escenario pesimista, ROI &gt; 100%</w:t>
        <w:br/>
      </w:r>
    </w:p>
    <w:p>
      <w:pPr>
        <w:pStyle w:val="Heading3"/>
        <w:keepNext/>
        <w:keepLines/>
      </w:pPr>
      <w:r>
        <w:t>Hoja 4: KPI DASHBOARD (Seguimiento)</w:t>
      </w:r>
    </w:p>
    <w:p>
      <w:pPr>
        <w:pStyle w:val="Heading4"/>
        <w:keepNext/>
        <w:keepLines/>
      </w:pPr>
      <w:r>
        <w:t>Sección A: KPI Principales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TRIMESTRE: Q1 2026</w:t>
        <w:br/>
        <w:br/>
        <w:t>| KPI | Baseline | Target Q1 | Actual Q1 | % Progress | On-Track | Variance |</w:t>
        <w:br/>
        <w:t>|-----|----------|-----------|-----------|-----------|----------|----------|</w:t>
        <w:br/>
        <w:t>| Score IGM | 56 | 71 | 71 | 100% | ✅ | 0 |</w:t>
        <w:br/>
        <w:t>| MTTD Crítico (días) | 5 | 3 | 3 | 100% | ✅ | 0 |</w:t>
        <w:br/>
        <w:t>| SAST Coverage % | 45% | 85% | 88% | 104% | ✅ | +3% |</w:t>
        <w:br/>
        <w:t>| Apps Checkpoints % | 30% | 90% | 92% | 102% | ✅ | +2% |</w:t>
        <w:br/>
        <w:t>| IR Playbook (S/N) | N | S | S | 100% | ✅ | — |</w:t>
        <w:br/>
        <w:t>| Training Completion % | 48% | 75% | 72% | 96% | ✅ | -3% |</w:t>
        <w:br/>
        <w:t>| NIS2 Readiness % | 45% | 60% | 62% | 103% | ✅ | +2% |</w:t>
        <w:br/>
        <w:t>| Presupuesto Gastado | — | €26k | €24.5k | 94% | ✅ | -€1.5k |</w:t>
        <w:br/>
        <w:t>| Budget Variance % | — | ±5% | -6% | — | ✅ | Within tolerance |</w:t>
        <w:br/>
      </w:r>
    </w:p>
    <w:p>
      <w:pPr>
        <w:pStyle w:val="Heading4"/>
        <w:keepNext/>
        <w:keepLines/>
      </w:pPr>
      <w:r>
        <w:t>Sección B: Gráficos (Recomendaciones)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**Gráfico 1: IGM Trending (Línea)**</w:t>
        <w:br/>
        <w:t>- Eje X: Trimestres (Q0, Q1, Q2, Q3, Q4)</w:t>
        <w:br/>
        <w:t>- Eje Y: Score IGM (0-100)</w:t>
        <w:br/>
        <w:t>- Series: Baseline (56), Target (70), Actual (56→71→81...)</w:t>
        <w:br/>
        <w:t>- Tipo: Línea con puntos</w:t>
        <w:br/>
        <w:br/>
        <w:t>**Gráfico 2: KPI Speedometer (Gauge)**</w:t>
        <w:br/>
        <w:t>- Centro: 71/100 (IGM actual)</w:t>
        <w:br/>
        <w:t>- Rango: 0-100</w:t>
        <w:br/>
        <w:t>- Colores: Rojo (0-40), Amarillo (40-70), Verde (70-100)</w:t>
        <w:br/>
        <w:br/>
        <w:t>**Gráfico 3: Presupuesto vs. Actual (Columnas)**</w:t>
        <w:br/>
        <w:t>- Eje X: Trimestres (Q1, Q2, Q3, Q4)</w:t>
        <w:br/>
        <w:t>- Eje Y: Euros (0-€100k)</w:t>
        <w:br/>
        <w:t>- Series: Budget (azul), Actual (verde), Variance (naranja)</w:t>
        <w:br/>
        <w:br/>
        <w:t>**Gráfico 4: Implementación Progress (Barra Horizontal)**</w:t>
        <w:br/>
        <w:t>- Actividades por estado: Not Started, In Progress, Completed</w:t>
        <w:br/>
        <w:t>- Colores: Rojo, Amarillo, Verde</w:t>
        <w:br/>
        <w:t>- Porcentaje: X/Y completadas</w:t>
        <w:br/>
      </w:r>
    </w:p>
    <w:p>
      <w:pPr>
        <w:pStyle w:val="Heading3"/>
        <w:keepNext/>
        <w:keepLines/>
      </w:pPr>
      <w:r>
        <w:t>Hoja 5: FINANCIAL SUMMARY (Resumen Financiero)</w:t>
      </w:r>
    </w:p>
    <w:p>
      <w:pPr>
        <w:pStyle w:val="Heading4"/>
        <w:keepNext/>
        <w:keepLines/>
      </w:pPr>
      <w:r>
        <w:t>Sección A: Budget Tracking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PRESUPUESTO ANUAL 2026</w:t>
        <w:br/>
        <w:br/>
        <w:t>| Rubro | Q1 | Q2 | Q3 | Q4 | Total | Budget | Variance |</w:t>
        <w:br/>
        <w:t>|-------|----|----|----|----|-------|--------|----------|</w:t>
        <w:br/>
        <w:t>| Tools &amp; Software | €12k | €25k | €35k | €10k | €82k | €85k | -€3k (-3%) |</w:t>
        <w:br/>
        <w:t>| Consulting &amp; Ext Services | €8k | €30k | €35k | €5k | €78k | €75k | +€3k (+4%) |</w:t>
        <w:br/>
        <w:t>| Internal Resources | €6k | €15k | €25k | €15k | €61k | €60k | +€1k (+2%) |</w:t>
        <w:br/>
        <w:t>| Training &amp; Awareness | €2k | €5k | €8k | €10k | €25k | €25k | €0 (0%) |</w:t>
        <w:br/>
        <w:t>| Contingency (10%) | €2k | €8k | €11k | €4k | €25k | €25k | €0 (0%) |</w:t>
        <w:br/>
        <w:t>| **TOTAL** | **€26k** | **€70k** | **€77k** | **€37k** | **€258k** | **€258k** | **€0 (0%)** |</w:t>
        <w:br/>
        <w:t>| **Burn Rate** | €26k | €96k | €173k | €210k | — | — | — |</w:t>
        <w:br/>
        <w:br/>
        <w:t>**Status**: On budget, on time</w:t>
        <w:br/>
      </w:r>
    </w:p>
    <w:p>
      <w:pPr>
        <w:pStyle w:val="Heading4"/>
        <w:keepNext/>
        <w:keepLines/>
      </w:pPr>
      <w:r>
        <w:t>Sección B: Retorno por Trimestre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Trimestre | Inversión Incremental | Beneficios Estimados | ROI Trimestral | ROI Acumulado |</w:t>
        <w:br/>
        <w:t>|-----------|----------------------|-------------------|----------------|---|</w:t>
        <w:br/>
        <w:t>| Q1 | €26k | €420k | 1,515% | 1,515% |</w:t>
        <w:br/>
        <w:t>| Q2 | €44k | €470k | 968% | 1,182% |</w:t>
        <w:br/>
        <w:t>| Q3 | €77k | €320k | 315% | 720% |</w:t>
        <w:br/>
        <w:t>| Q4 | €37k | €90k | 143% | 368% |</w:t>
        <w:br/>
        <w:t>| **TOTAL** | **€258k** | **€1.21M** | — | **368%** |</w:t>
        <w:br/>
      </w:r>
    </w:p>
    <w:p>
      <w:pPr>
        <w:pStyle w:val="Heading3"/>
        <w:keepNext/>
        <w:keepLines/>
      </w:pPr>
      <w:r>
        <w:t>Hoja 6: ASSUMPTIONS &amp; NOTES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SUPUESTOS CRÍTICOS</w:t>
        <w:br/>
        <w:br/>
        <w:t>| Supuesto | Valor | Justificación | Risk |</w:t>
        <w:br/>
        <w:t>|----------|-------|---|---|</w:t>
        <w:br/>
        <w:t>| Vulnerabilidades detectadas/año | 45 | 87.6% SAST coverage × typical volume | Medium |</w:t>
        <w:br/>
        <w:t>| Costo breach promedio | €50k | Industry standard Spain | Low |</w:t>
        <w:br/>
        <w:t>| Breach conversion rate | 6.7% | 3 of 45 vuln not detected → breach | High |</w:t>
        <w:br/>
        <w:t>| MTTD improvement | 5→3 días | Better tooling + training | Low |</w:t>
        <w:br/>
        <w:t>| Team adoption rate | 85% | Training effectiveness | Medium |</w:t>
        <w:br/>
        <w:t>| Tool implementation success | 90% | Vendor support + internal expertise | Low |</w:t>
        <w:br/>
        <w:t>| Sustained benefits Year 2+ | 80% | Ongoing tool use, team retention | Medium |</w:t>
        <w:br/>
        <w:br/>
        <w:t>SENSIBILIDAD CRÍTICA</w:t>
        <w:br/>
        <w:br/>
        <w:t>- Si breach rate = 10% (no 6.7%): ROI sube a 550%</w:t>
        <w:br/>
        <w:t>- Si breach rate = 3% (no 6.7%): ROI baja a 200%</w:t>
        <w:br/>
        <w:t>- Si MTTD no mejora: ROI baja a 180%</w:t>
        <w:br/>
        <w:br/>
        <w:t>RECOMENDACIÓN: Monitorear breach rate trimestral</w:t>
        <w:br/>
      </w:r>
    </w:p>
    <w:p>
      <w:pPr>
        <w:pStyle w:val="Heading2"/>
        <w:keepNext/>
        <w:keepLines/>
      </w:pPr>
      <w:r>
        <w:rPr>
          <w:color w:val="0066CC"/>
        </w:rPr>
        <w:t>INSTRUCCIONES TÉCNICAS DE IMPLEMENTACIÓN</w:t>
      </w:r>
    </w:p>
    <w:p>
      <w:pPr>
        <w:pStyle w:val="Heading3"/>
        <w:keepNext/>
        <w:keepLines/>
      </w:pPr>
      <w:r>
        <w:t>Paso 1: Crear Hoja 1 (Input)</w:t>
      </w:r>
    </w:p>
    <w:p>
      <w:pPr>
        <w:pStyle w:val="ListNumber"/>
        <w:keepLines w:val="1"/>
        <w:keepNext w:val="1"/>
        <w:widowControl w:val="1"/>
      </w:pPr>
      <w:r>
        <w:t>Copiar tabla actividades BSIMM15 (columnas A-E)</w:t>
      </w:r>
    </w:p>
    <w:p>
      <w:pPr>
        <w:pStyle w:val="ListNumber"/>
        <w:keepLines w:val="1"/>
        <w:keepNext w:val="1"/>
        <w:widowControl w:val="1"/>
      </w:pPr>
      <w:r>
        <w:t>Agregar datos entrada (columnas F-O)</w:t>
      </w:r>
    </w:p>
    <w:p>
      <w:pPr>
        <w:pStyle w:val="ListNumber"/>
        <w:keepLines w:val="1"/>
        <w:keepNext w:val="1"/>
        <w:widowControl w:val="1"/>
      </w:pPr>
      <w:r>
        <w:t>Usar validación de datos para Status (dropdown Q1/Q2/Q3/Q4)</w:t>
      </w:r>
    </w:p>
    <w:p>
      <w:pPr>
        <w:pStyle w:val="ListNumber"/>
        <w:keepLines w:val="1"/>
        <w:widowControl w:val="1"/>
      </w:pPr>
      <w:r>
        <w:t>Usar formato condicional: Status completado = verde</w:t>
      </w:r>
    </w:p>
    <w:p>
      <w:pPr>
        <w:pStyle w:val="Heading3"/>
        <w:keepNext/>
        <w:keepLines/>
      </w:pPr>
      <w:r>
        <w:t>Paso 2: Crear Hoja 2 (IGM)</w:t>
      </w:r>
    </w:p>
    <w:p>
      <w:pPr>
        <w:pStyle w:val="ListNumber"/>
        <w:keepLines w:val="1"/>
        <w:keepNext w:val="1"/>
        <w:widowControl w:val="1"/>
      </w:pPr>
      <w:r>
        <w:t>Crear SUMIF para agrupar por práctica</w:t>
      </w:r>
    </w:p>
    <w:p>
      <w:pPr>
        <w:pStyle w:val="ListNumber"/>
        <w:keepLines w:val="1"/>
        <w:keepNext w:val="1"/>
        <w:widowControl w:val="1"/>
      </w:pPr>
      <w:r>
        <w:t>Crear fórmula PRAGMATIC Score = SUMPRODUCT(implementadas × PRAGMATIC) / COUNT(actividades)</w:t>
      </w:r>
    </w:p>
    <w:p>
      <w:pPr>
        <w:pStyle w:val="ListNumber"/>
        <w:keepLines w:val="1"/>
        <w:keepNext w:val="1"/>
        <w:widowControl w:val="1"/>
      </w:pPr>
      <w:r>
        <w:t>Gráfico línea: Baseline vs Target vs Actual</w:t>
      </w:r>
    </w:p>
    <w:p>
      <w:pPr>
        <w:pStyle w:val="ListNumber"/>
        <w:keepLines w:val="1"/>
        <w:widowControl w:val="1"/>
      </w:pPr>
      <w:r>
        <w:t>Actualizar automático desde Hoja 1</w:t>
      </w:r>
    </w:p>
    <w:p>
      <w:pPr>
        <w:pStyle w:val="Heading3"/>
        <w:keepNext/>
        <w:keepLines/>
      </w:pPr>
      <w:r>
        <w:t>Paso 3: Crear Hoja 3 (ROI)</w:t>
      </w:r>
    </w:p>
    <w:p>
      <w:pPr>
        <w:pStyle w:val="ListNumber"/>
        <w:keepLines w:val="1"/>
        <w:keepNext w:val="1"/>
        <w:widowControl w:val="1"/>
      </w:pPr>
      <w:r>
        <w:t>Tabla costos: Fixed + Variable por iniciativa</w:t>
      </w:r>
    </w:p>
    <w:p>
      <w:pPr>
        <w:pStyle w:val="ListNumber"/>
        <w:keepLines w:val="1"/>
        <w:keepNext w:val="1"/>
        <w:widowControl w:val="1"/>
      </w:pPr>
      <w:r>
        <w:t>Beneficios: Manual estimate × industry standard</w:t>
      </w:r>
    </w:p>
    <w:p>
      <w:pPr>
        <w:pStyle w:val="ListNumber"/>
        <w:keepLines w:val="1"/>
        <w:keepNext w:val="1"/>
        <w:widowControl w:val="1"/>
      </w:pPr>
      <w:r>
        <w:t>ROI = (Beneficios - Costos) / Costos × 100</w:t>
      </w:r>
    </w:p>
    <w:p>
      <w:pPr>
        <w:pStyle w:val="ListNumber"/>
        <w:keepLines w:val="1"/>
        <w:widowControl w:val="1"/>
      </w:pPr>
      <w:r>
        <w:t>Tablas de sensibilidad: Formulas con IF para 3 escenarios</w:t>
      </w:r>
    </w:p>
    <w:p>
      <w:pPr>
        <w:pStyle w:val="Heading3"/>
        <w:keepNext/>
        <w:keepLines/>
      </w:pPr>
      <w:r>
        <w:t>Paso 4: Crear Hoja 4 (Dashboard)</w:t>
      </w:r>
    </w:p>
    <w:p>
      <w:pPr>
        <w:pStyle w:val="ListNumber"/>
        <w:keepLines w:val="1"/>
        <w:keepNext w:val="1"/>
        <w:widowControl w:val="1"/>
      </w:pPr>
      <w:r>
        <w:t>KPI principales como formulas referencias a Hoja 2</w:t>
      </w:r>
    </w:p>
    <w:p>
      <w:pPr>
        <w:pStyle w:val="ListNumber"/>
        <w:keepLines w:val="1"/>
        <w:keepNext w:val="1"/>
        <w:widowControl w:val="1"/>
      </w:pPr>
      <w:r>
        <w:t>Gráficos: 4 tipos como descrito</w:t>
      </w:r>
    </w:p>
    <w:p>
      <w:pPr>
        <w:pStyle w:val="ListNumber"/>
        <w:keepLines w:val="1"/>
        <w:keepNext w:val="1"/>
        <w:widowControl w:val="1"/>
      </w:pPr>
      <w:r>
        <w:t>Actual updating from Hoja 1</w:t>
      </w:r>
    </w:p>
    <w:p>
      <w:pPr>
        <w:pStyle w:val="ListNumber"/>
        <w:keepLines w:val="1"/>
        <w:widowControl w:val="1"/>
      </w:pPr>
      <w:r>
        <w:t>Conditional formatting: Rojo &lt; 50%, Amarillo 50-80%, Verde &gt; 80%</w:t>
      </w:r>
    </w:p>
    <w:p>
      <w:pPr>
        <w:pStyle w:val="Heading3"/>
        <w:keepNext/>
        <w:keepLines/>
      </w:pPr>
      <w:r>
        <w:t>Paso 5: Vincular todo</w:t>
      </w:r>
    </w:p>
    <w:p>
      <w:pPr>
        <w:pStyle w:val="ListNumber"/>
        <w:keepLines w:val="1"/>
        <w:keepNext w:val="1"/>
        <w:widowControl w:val="1"/>
      </w:pPr>
      <w:r>
        <w:t>Hoja 1 es "source of truth"</w:t>
      </w:r>
    </w:p>
    <w:p>
      <w:pPr>
        <w:pStyle w:val="ListNumber"/>
        <w:keepLines w:val="1"/>
        <w:keepNext w:val="1"/>
        <w:widowControl w:val="1"/>
      </w:pPr>
      <w:r>
        <w:t>Hojas 2-5 usan referencias y formulas</w:t>
      </w:r>
    </w:p>
    <w:p>
      <w:pPr>
        <w:pStyle w:val="ListNumber"/>
        <w:keepLines w:val="1"/>
        <w:keepNext w:val="1"/>
        <w:widowControl w:val="1"/>
      </w:pPr>
      <w:r>
        <w:t>Dashboard actualiza automático cuando se cambian datos entrada</w:t>
      </w:r>
    </w:p>
    <w:p>
      <w:pPr>
        <w:pStyle w:val="ListNumber"/>
        <w:keepLines w:val="1"/>
        <w:widowControl w:val="1"/>
      </w:pPr>
      <w:r>
        <w:t>Exportar gráficos para reportes trimestrales</w:t>
      </w:r>
    </w:p>
    <w:p>
      <w:pPr>
        <w:pStyle w:val="Heading2"/>
        <w:keepNext/>
        <w:keepLines/>
      </w:pPr>
      <w:r>
        <w:rPr>
          <w:color w:val="0066CC"/>
        </w:rPr>
        <w:t>FÓRMULAS EXCEL CLAVE</w:t>
      </w:r>
    </w:p>
    <w:p>
      <w:pPr>
        <w:pStyle w:val="Heading3"/>
        <w:keepNext/>
        <w:keepLines/>
      </w:pPr>
      <w:r>
        <w:t>Fórmula 1: IGM Score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=SUMPRODUCT((Hoja1.F:F=1)*(Hoja1.D:D))/COUNTA(Hoja1.B:B)</w:t>
        <w:br/>
        <w:br/>
        <w:t>Donde:</w:t>
        <w:br/>
        <w:t>- Hoja1.F:F = Implementada (S/N) convertida a 1/0</w:t>
        <w:br/>
        <w:t>- Hoja1.D:D = PRAGMATIC score</w:t>
        <w:br/>
        <w:t>- COUNTA = # total actividades</w:t>
        <w:br/>
        <w:t>Resultado: Score ponderado 0-100</w:t>
        <w:br/>
      </w:r>
    </w:p>
    <w:p>
      <w:pPr>
        <w:pStyle w:val="Heading3"/>
        <w:keepNext/>
        <w:keepLines/>
      </w:pPr>
      <w:r>
        <w:t>Fórmula 2: ROI %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=((Beneficios_Anuales - Costos_Anuales) / Costos_Anuales) * 100</w:t>
        <w:br/>
        <w:br/>
        <w:t>Donde:</w:t>
        <w:br/>
        <w:t>- Beneficios_Anuales = Sum(vulnerabilidades_detectadas × costo_breach)</w:t>
        <w:br/>
        <w:t>- Costos_Anuales = Sum(inversión_herramientas + servicios + recursos)</w:t>
        <w:br/>
        <w:t>Resultado: Porcentaje ROI</w:t>
        <w:br/>
      </w:r>
    </w:p>
    <w:p>
      <w:pPr>
        <w:pStyle w:val="Heading3"/>
        <w:keepNext/>
        <w:keepLines/>
      </w:pPr>
      <w:r>
        <w:t>Fórmula 3: Payback Period (meses)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=Costos_Totales / (Beneficios_Anuales / 12)</w:t>
        <w:br/>
        <w:br/>
        <w:t>Donde:</w:t>
        <w:br/>
        <w:t>- Beneficios_Anuales / 12 = Beneficios mensuales promedio</w:t>
        <w:br/>
        <w:t>Resultado: Meses hasta recuperar inversión</w:t>
        <w:br/>
      </w:r>
    </w:p>
    <w:p>
      <w:pPr>
        <w:pStyle w:val="Heading3"/>
        <w:keepNext/>
        <w:keepLines/>
      </w:pPr>
      <w:r>
        <w:t>Fórmula 4: Progress %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=COUNTIF(Hoja1.H:H,1) / COUNTA(Hoja1.B:B) * 100</w:t>
        <w:br/>
        <w:br/>
        <w:t>Donde:</w:t>
        <w:br/>
        <w:t>- COUNTIF(...,1) = Actividades completadas</w:t>
        <w:br/>
        <w:t>- COUNTA(...) = Total actividades</w:t>
        <w:br/>
        <w:t>Resultado: Porcentaje avance</w:t>
        <w:br/>
      </w:r>
    </w:p>
    <w:p>
      <w:pPr>
        <w:pStyle w:val="Heading2"/>
        <w:keepNext/>
        <w:keepLines/>
      </w:pPr>
      <w:r>
        <w:rPr>
          <w:color w:val="0066CC"/>
        </w:rPr>
        <w:t>EXPORTACIÓN Y REPORTING</w:t>
      </w:r>
    </w:p>
    <w:p>
      <w:pPr>
        <w:pStyle w:val="Heading3"/>
        <w:keepNext/>
        <w:keepLines/>
      </w:pPr>
      <w:r>
        <w:t>Generación de Reportes Trimestales</w:t>
      </w:r>
    </w:p>
    <w:p>
      <w:pPr>
        <w:pStyle w:val="ListNumber"/>
        <w:keepLines w:val="1"/>
        <w:keepNext w:val="1"/>
        <w:widowControl w:val="1"/>
      </w:pPr>
      <w:r>
        <w:t xml:space="preserve">Reporte Ejecutivo: </w:t>
      </w:r>
    </w:p>
    <w:p>
      <w:pPr>
        <w:pStyle w:val="ListNumber"/>
        <w:keepLines w:val="1"/>
        <w:keepNext w:val="1"/>
        <w:widowControl w:val="1"/>
      </w:pPr>
      <w:r>
        <w:t>Screenshot de Dashboard (Hoja 4)</w:t>
      </w:r>
    </w:p>
    <w:p>
      <w:pPr>
        <w:pStyle w:val="ListNumber"/>
        <w:keepLines w:val="1"/>
        <w:keepNext w:val="1"/>
        <w:widowControl w:val="1"/>
      </w:pPr>
      <w:r>
        <w:t>Tabla KPI (Hoja 4, Sección A)</w:t>
      </w:r>
    </w:p>
    <w:p>
      <w:pPr>
        <w:pStyle w:val="ListNumber"/>
        <w:keepLines w:val="1"/>
        <w:keepNext w:val="1"/>
        <w:widowControl w:val="1"/>
      </w:pPr>
      <w:r>
        <w:br/>
        <w:t>Financial Summary (Hoja 5)</w:t>
        <w:br/>
      </w:r>
    </w:p>
    <w:p>
      <w:pPr>
        <w:pStyle w:val="ListNumber"/>
        <w:keepLines w:val="1"/>
        <w:keepNext w:val="1"/>
        <w:widowControl w:val="1"/>
      </w:pPr>
      <w:r>
        <w:br/>
        <w:t>Reporte Técnico:</w:t>
        <w:br/>
      </w:r>
    </w:p>
    <w:p>
      <w:pPr>
        <w:pStyle w:val="ListNumber"/>
        <w:keepLines w:val="1"/>
        <w:keepNext w:val="1"/>
        <w:widowControl w:val="1"/>
      </w:pPr>
      <w:r>
        <w:t>Tabla Implementación (Hoja 1, filtered for Q)</w:t>
      </w:r>
    </w:p>
    <w:p>
      <w:pPr>
        <w:pStyle w:val="ListNumber"/>
        <w:keepLines w:val="1"/>
        <w:keepNext w:val="1"/>
        <w:widowControl w:val="1"/>
      </w:pPr>
      <w:r>
        <w:t>IGM Trending (Gráfico Hoja 2)</w:t>
      </w:r>
    </w:p>
    <w:p>
      <w:pPr>
        <w:pStyle w:val="ListNumber"/>
        <w:keepLines w:val="1"/>
        <w:keepNext w:val="1"/>
        <w:widowControl w:val="1"/>
      </w:pPr>
      <w:r>
        <w:br/>
        <w:t>ROI Analysis (Hoja 3)</w:t>
        <w:br/>
      </w:r>
    </w:p>
    <w:p>
      <w:pPr>
        <w:pStyle w:val="ListNumber"/>
        <w:keepLines w:val="1"/>
        <w:keepNext w:val="1"/>
        <w:widowControl w:val="1"/>
      </w:pPr>
      <w:r>
        <w:br/>
        <w:t>Reporte Auditoría:</w:t>
        <w:br/>
      </w:r>
    </w:p>
    <w:p>
      <w:pPr>
        <w:pStyle w:val="ListNumber"/>
        <w:keepLines w:val="1"/>
        <w:keepNext w:val="1"/>
        <w:widowControl w:val="1"/>
      </w:pPr>
      <w:r>
        <w:t>Mapeo Normativo (documento separado)</w:t>
      </w:r>
    </w:p>
    <w:p>
      <w:pPr>
        <w:pStyle w:val="ListNumber"/>
        <w:keepLines w:val="1"/>
        <w:keepNext w:val="1"/>
        <w:widowControl w:val="1"/>
      </w:pPr>
      <w:r>
        <w:t>Completitud % por dominio</w:t>
      </w:r>
    </w:p>
    <w:p>
      <w:pPr>
        <w:pStyle w:val="ListNumber"/>
        <w:keepLines w:val="1"/>
        <w:widowControl w:val="1"/>
      </w:pPr>
      <w:r>
        <w:t>Status de remedición</w:t>
      </w:r>
    </w:p>
    <w:p>
      <w:r>
        <w:t>Financial Summary (Hoja 5)</w:t>
      </w:r>
    </w:p>
    <w:p>
      <w:r>
        <w:rPr>
          <w:b/>
        </w:rPr>
        <w:t>Reporte Técnico</w:t>
      </w:r>
      <w:r>
        <w:t>:</w:t>
      </w:r>
    </w:p>
    <w:p>
      <w:r>
        <w:t>ROI Analysis (Hoja 3)</w:t>
      </w:r>
    </w:p>
    <w:p>
      <w:r>
        <w:rPr>
          <w:b/>
        </w:rPr>
        <w:t>Reporte Auditoría</w:t>
      </w:r>
      <w:r>
        <w:t>:</w:t>
      </w:r>
    </w:p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t>Esta plantilla Excel proporciona:</w:t>
      </w:r>
    </w:p>
    <w:p>
      <w:r>
        <w:t xml:space="preserve">✅ </w:t>
      </w:r>
      <w:r>
        <w:rPr>
          <w:b/>
        </w:rPr>
        <w:t>Automatización</w:t>
      </w:r>
      <w:r>
        <w:t>: Cálculo IGM, ROI, KPIs en tiempo real</w:t>
      </w:r>
      <w:r/>
      <w:r>
        <w:br/>
        <w:t xml:space="preserve">✅ </w:t>
      </w:r>
      <w:r>
        <w:rPr>
          <w:b/>
        </w:rPr>
        <w:t>Visibilidad</w:t>
      </w:r>
      <w:r>
        <w:t>: Dashboard ejecutivo con gráficos</w:t>
      </w:r>
      <w:r/>
      <w:r>
        <w:br/>
        <w:t xml:space="preserve">✅ </w:t>
      </w:r>
      <w:r>
        <w:rPr>
          <w:b/>
        </w:rPr>
        <w:t>Trazabilidad</w:t>
      </w:r>
      <w:r>
        <w:t>: Conexión datos entrada → IGM → ROI</w:t>
      </w:r>
      <w:r/>
      <w:r>
        <w:br/>
        <w:t xml:space="preserve">✅ </w:t>
      </w:r>
      <w:r>
        <w:rPr>
          <w:b/>
        </w:rPr>
        <w:t>Análisis</w:t>
      </w:r>
      <w:r>
        <w:t>: Sensibilidad, escenarios, breakeven</w:t>
      </w:r>
      <w:r/>
      <w:r>
        <w:br/>
        <w:t xml:space="preserve">✅ </w:t>
      </w:r>
      <w:r>
        <w:rPr>
          <w:b/>
        </w:rPr>
        <w:t>Reporting</w:t>
      </w:r>
      <w:r>
        <w:t xml:space="preserve">: Exportación automática de reportes  </w:t>
      </w:r>
    </w:p>
    <w:p>
      <w:r>
        <w:rPr>
          <w:b/>
        </w:rPr>
        <w:t>Tiempo de setup</w:t>
      </w:r>
      <w:r>
        <w:t>: 2-3 horas</w:t>
      </w:r>
      <w:r/>
      <w:r>
        <w:br/>
      </w:r>
      <w:r>
        <w:rPr>
          <w:b/>
        </w:rPr>
        <w:t>Mantenimiento trimestral</w:t>
      </w:r>
      <w:r>
        <w:t>: 30 min para actualizar datos entrada</w:t>
      </w:r>
    </w:p>
    <w:p>
      <w:r>
        <w:rPr>
          <w:b/>
        </w:rPr>
        <w:t>FIN DE LA PLANTILLA EXCEL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