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indicadores nacionales BCM / ciber‑resiliencia (GQM + PRAGMATIC)</w:t>
      </w:r>
    </w:p>
    <w:p>
      <w:r>
        <w:t xml:space="preserve">Este README describe el contenido y el uso del </w:t>
      </w:r>
      <w:r>
        <w:rPr>
          <w:b/>
        </w:rPr>
        <w:t>kit de indicadores nacionales</w:t>
      </w:r>
      <w:r>
        <w:t xml:space="preserve"> basado en el informe “Business Continuity Management (BCM) for Effective Cyber Risk Management” y en la metodología combinada </w:t>
      </w:r>
      <w:r>
        <w:rPr>
          <w:b/>
        </w:rPr>
        <w:t>GQM + PRAGMATIC</w:t>
      </w:r>
      <w:r>
        <w:t>.</w:t>
      </w:r>
    </w:p>
    <w:p>
      <w:r>
        <w:t>La idea es sencilla: que el país (o territorio) pueda responder, con datos y no sólo con discursos, a preguntas del tipo «¿qué tan resilientes somos realmente ante ciberincidentes graves y fallos TIC?».</w:t>
      </w:r>
    </w:p>
    <w:p>
      <w:pPr>
        <w:pStyle w:val="Heading2"/>
        <w:keepNext/>
        <w:keepLines/>
      </w:pPr>
      <w:r>
        <w:rPr>
          <w:color w:val="0066CC"/>
        </w:rPr>
        <w:t>1. Contenidos del kit</w:t>
      </w:r>
    </w:p>
    <w:p>
      <w:r>
        <w:t>El kit se compone de los siguientes ficheros Markdown:</w:t>
      </w:r>
    </w:p>
    <w:p>
      <w:pPr>
        <w:pStyle w:val="ListNumber"/>
        <w:keepLines w:val="1"/>
        <w:keepNext w:val="1"/>
        <w:widowControl w:val="1"/>
      </w:pPr>
      <w:r>
        <w:t xml:space="preserve">marco-gqm-prag.md </w:t>
      </w:r>
    </w:p>
    <w:p>
      <w:pPr>
        <w:pStyle w:val="ListNumber"/>
        <w:keepLines w:val="1"/>
        <w:keepNext w:val="1"/>
        <w:widowControl w:val="1"/>
      </w:pPr>
      <w:r>
        <w:t>Define el marco conceptual GQM + PRAGMATIC aplicado a los indicadores nacionales IND‑01…IND‑14.</w:t>
      </w:r>
    </w:p>
    <w:p>
      <w:pPr>
        <w:pStyle w:val="ListNumber"/>
        <w:keepLines w:val="1"/>
        <w:keepNext w:val="1"/>
        <w:widowControl w:val="1"/>
      </w:pPr>
      <w:r>
        <w:br/>
        <w:t>Incluye objetivos nacionales (G1–G3), preguntas GQM y definición de cada métrica.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matriz-prag.md </w:t>
        <w:br/>
      </w:r>
    </w:p>
    <w:p>
      <w:pPr>
        <w:pStyle w:val="ListNumber"/>
        <w:keepLines w:val="1"/>
        <w:keepNext w:val="1"/>
        <w:widowControl w:val="1"/>
      </w:pPr>
      <w:r>
        <w:br/>
        <w:t>Presenta la Matriz de Evaluación PRAGMATIC Completa: para cada indicador se valora su carácter predictivo, relevancia, accionabilidad, etc.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mapeo-bcm-norm.md </w:t>
        <w:br/>
      </w:r>
    </w:p>
    <w:p>
      <w:pPr>
        <w:pStyle w:val="ListNumber"/>
        <w:keepLines w:val="1"/>
        <w:keepNext w:val="1"/>
        <w:widowControl w:val="1"/>
      </w:pPr>
      <w:r>
        <w:br/>
        <w:t>Relaciona cada indicador con los principales marcos normativos: ENCS, PNC, ENS, NIS2, DORA, normas ISO, GCI, NCSI.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plantilla-igm2.md </w:t>
        <w:br/>
      </w:r>
    </w:p>
    <w:p>
      <w:pPr>
        <w:pStyle w:val="ListNumber"/>
        <w:keepLines w:val="1"/>
        <w:keepNext w:val="1"/>
        <w:widowControl w:val="1"/>
      </w:pPr>
      <w:r>
        <w:br/>
        <w:t>Describe cómo construir una plantilla Excel para:</w:t>
        <w:br/>
        <w:br/>
        <w:t>Calcular un Índice Global de Madurez/Resiliencia (IGM).</w:t>
        <w:br/>
        <w:t>Calcular índices por dimensión (gobernanza, capacidades, rendimiento, impacto, ecosistema).</w:t>
        <w:br/>
        <w:t>Asociar programas nacionales a ROI e impacto en indicadores.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ppt-bcm.md </w:t>
        <w:br/>
      </w:r>
    </w:p>
    <w:p>
      <w:pPr>
        <w:pStyle w:val="ListNumber"/>
        <w:keepLines w:val="1"/>
        <w:widowControl w:val="1"/>
      </w:pPr>
      <w:r>
        <w:t>Propone una estructura de reporte ejecutivo (PowerPoint u otra herramienta) para presentar resultados a altos decisores.</w:t>
      </w:r>
    </w:p>
    <w:p>
      <w:r>
        <w:t>Incluye objetivos nacionales (G1–G3), preguntas GQM y definición de cada métrica.</w:t>
      </w:r>
    </w:p>
    <w:p>
      <w:r>
        <w:rPr>
          <w:rFonts w:ascii="Courier New" w:hAnsi="Courier New"/>
          <w:sz w:val="18"/>
        </w:rPr>
        <w:t>matriz-prag.md</w:t>
      </w:r>
      <w:r>
        <w:t xml:space="preserve"> </w:t>
      </w:r>
    </w:p>
    <w:p>
      <w:r>
        <w:t xml:space="preserve">Presenta la </w:t>
      </w:r>
      <w:r>
        <w:rPr>
          <w:b/>
        </w:rPr>
        <w:t>Matriz de Evaluación PRAGMATIC Completa</w:t>
      </w:r>
      <w:r>
        <w:t>: para cada indicador se valora su carácter predictivo, relevancia, accionabilidad, etc.</w:t>
      </w:r>
    </w:p>
    <w:p>
      <w:r>
        <w:rPr>
          <w:rFonts w:ascii="Courier New" w:hAnsi="Courier New"/>
          <w:sz w:val="18"/>
        </w:rPr>
        <w:t>mapeo-bcm-norm.md</w:t>
      </w:r>
      <w:r>
        <w:t xml:space="preserve"> </w:t>
      </w:r>
    </w:p>
    <w:p>
      <w:r>
        <w:t xml:space="preserve">Relaciona cada indicador con los principales </w:t>
      </w:r>
      <w:r>
        <w:rPr>
          <w:b/>
        </w:rPr>
        <w:t>marcos normativos</w:t>
      </w:r>
      <w:r>
        <w:t>: ENCS, PNC, ENS, NIS2, DORA, normas ISO, GCI, NCSI.</w:t>
      </w:r>
    </w:p>
    <w:p>
      <w:r>
        <w:rPr>
          <w:rFonts w:ascii="Courier New" w:hAnsi="Courier New"/>
          <w:sz w:val="18"/>
        </w:rPr>
        <w:t>plantilla-igm2.md</w:t>
      </w:r>
      <w:r>
        <w:t xml:space="preserve"> </w:t>
      </w:r>
    </w:p>
    <w:p>
      <w:r>
        <w:t xml:space="preserve">Describe cómo construir una </w:t>
      </w:r>
      <w:r>
        <w:rPr>
          <w:b/>
        </w:rPr>
        <w:t>plantilla Excel</w:t>
      </w:r>
      <w:r>
        <w:t xml:space="preserve"> para:</w:t>
      </w:r>
    </w:p>
    <w:p>
      <w:pPr>
        <w:pStyle w:val="ListBullet"/>
        <w:keepLines w:val="1"/>
        <w:keepNext w:val="1"/>
        <w:widowControl w:val="1"/>
      </w:pPr>
      <w:r>
        <w:t>Calcular un Índice Global de Madurez/Resiliencia (IGM).</w:t>
      </w:r>
    </w:p>
    <w:p>
      <w:pPr>
        <w:pStyle w:val="ListBullet"/>
        <w:keepLines w:val="1"/>
        <w:keepNext w:val="1"/>
        <w:widowControl w:val="1"/>
      </w:pPr>
      <w:r>
        <w:t>Calcular índices por dimensión (gobernanza, capacidades, rendimiento, impacto, ecosistema).</w:t>
      </w:r>
    </w:p>
    <w:p>
      <w:pPr>
        <w:pStyle w:val="ListBullet"/>
        <w:keepLines w:val="1"/>
        <w:widowControl w:val="1"/>
      </w:pPr>
      <w:r>
        <w:t>Asociar programas nacionales a ROI e impacto en indicadores.</w:t>
      </w:r>
    </w:p>
    <w:p>
      <w:r>
        <w:rPr>
          <w:rFonts w:ascii="Courier New" w:hAnsi="Courier New"/>
          <w:sz w:val="18"/>
        </w:rPr>
        <w:t>ppt-bcm.md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2. Cómo usar el kit (paso a paso)</w:t>
      </w:r>
    </w:p>
    <w:p>
      <w:pPr>
        <w:pStyle w:val="Heading3"/>
        <w:keepNext/>
        <w:keepLines/>
      </w:pPr>
      <w:r>
        <w:t>Paso 1. Aprobación del enfoque</w:t>
      </w:r>
    </w:p>
    <w:p>
      <w:pPr>
        <w:pStyle w:val="ListBullet"/>
        <w:keepLines w:val="1"/>
        <w:keepNext w:val="1"/>
        <w:widowControl w:val="1"/>
      </w:pPr>
      <w:r>
        <w:t>Compartir marco-gqm-prag.md con:</w:t>
      </w:r>
    </w:p>
    <w:p>
      <w:pPr>
        <w:pStyle w:val="ListBullet"/>
        <w:keepLines w:val="1"/>
        <w:keepNext w:val="1"/>
        <w:widowControl w:val="1"/>
      </w:pPr>
      <w:r>
        <w:t>Equipos de estrategia, ciberseguridad nacional, continuidad de gobierno y analítica.</w:t>
      </w:r>
    </w:p>
    <w:p>
      <w:pPr>
        <w:pStyle w:val="ListBullet"/>
        <w:keepLines w:val="1"/>
        <w:keepNext w:val="1"/>
        <w:widowControl w:val="1"/>
      </w:pPr>
      <w:r>
        <w:t>Validar:</w:t>
      </w:r>
    </w:p>
    <w:p>
      <w:pPr>
        <w:pStyle w:val="ListBullet"/>
        <w:keepLines w:val="1"/>
        <w:keepNext w:val="1"/>
        <w:widowControl w:val="1"/>
      </w:pPr>
      <w:r>
        <w:t>Objetivos nacionales (G1–G3).</w:t>
      </w:r>
    </w:p>
    <w:p>
      <w:pPr>
        <w:pStyle w:val="ListBullet"/>
        <w:keepLines w:val="1"/>
        <w:keepNext w:val="1"/>
        <w:widowControl w:val="1"/>
      </w:pPr>
      <w:r>
        <w:t>Lista de indicadores IND‑01…IND‑14.</w:t>
      </w:r>
    </w:p>
    <w:p>
      <w:pPr>
        <w:pStyle w:val="ListBullet"/>
        <w:keepLines w:val="1"/>
        <w:widowControl w:val="1"/>
      </w:pPr>
      <w:r>
        <w:t>Definiciones GQM (preguntas, métricas).</w:t>
      </w:r>
    </w:p>
    <w:p>
      <w:r>
        <w:t>Consejo: este es el momento de ajustar el catálogo; cambiar indicadores a posteriori complica series históricas.</w:t>
      </w:r>
    </w:p>
    <w:p>
      <w:pPr>
        <w:pStyle w:val="Heading3"/>
        <w:keepNext/>
        <w:keepLines/>
      </w:pPr>
      <w:r>
        <w:t>Paso 2. Alineamiento normativo y político</w:t>
      </w:r>
    </w:p>
    <w:p>
      <w:pPr>
        <w:pStyle w:val="ListBullet"/>
        <w:keepLines w:val="1"/>
        <w:keepNext w:val="1"/>
        <w:widowControl w:val="1"/>
      </w:pPr>
      <w:r>
        <w:t>Revisar mapeo-bcm-norm.md con:</w:t>
      </w:r>
    </w:p>
    <w:p>
      <w:pPr>
        <w:pStyle w:val="ListBullet"/>
        <w:keepLines w:val="1"/>
        <w:keepNext w:val="1"/>
        <w:widowControl w:val="1"/>
      </w:pPr>
      <w:r>
        <w:t>Unidades jurídicas/regulatorias.</w:t>
      </w:r>
    </w:p>
    <w:p>
      <w:pPr>
        <w:pStyle w:val="ListBullet"/>
        <w:keepLines w:val="1"/>
        <w:keepNext w:val="1"/>
        <w:widowControl w:val="1"/>
      </w:pPr>
      <w:r>
        <w:t>Responsables del ENS, transposición NIS2, DORA, etc.</w:t>
      </w:r>
    </w:p>
    <w:p>
      <w:pPr>
        <w:pStyle w:val="ListBullet"/>
        <w:keepLines w:val="1"/>
        <w:keepNext w:val="1"/>
        <w:widowControl w:val="1"/>
      </w:pPr>
      <w:r>
        <w:t>Identificar:</w:t>
      </w:r>
    </w:p>
    <w:p>
      <w:pPr>
        <w:pStyle w:val="ListBullet"/>
        <w:keepLines w:val="1"/>
        <w:keepNext w:val="1"/>
        <w:widowControl w:val="1"/>
      </w:pPr>
      <w:r>
        <w:t>Indicadores más sensibles por implicaciones de cumplimiento.</w:t>
      </w:r>
    </w:p>
    <w:p>
      <w:pPr>
        <w:pStyle w:val="ListBullet"/>
        <w:keepLines w:val="1"/>
        <w:widowControl w:val="1"/>
      </w:pPr>
      <w:r>
        <w:t>Posibles huecos entre lo medido y lo que las normas exigen observar.</w:t>
      </w:r>
    </w:p>
    <w:p>
      <w:pPr>
        <w:pStyle w:val="Heading3"/>
        <w:keepNext/>
        <w:keepLines/>
      </w:pPr>
      <w:r>
        <w:t>Paso 3. Diseño del modelo de datos y cálculo</w:t>
      </w:r>
    </w:p>
    <w:p>
      <w:pPr>
        <w:pStyle w:val="ListBullet"/>
        <w:keepLines w:val="1"/>
        <w:keepNext w:val="1"/>
        <w:widowControl w:val="1"/>
      </w:pPr>
      <w:r>
        <w:t>Utilizar plantilla-igm2.md para construir el libro Excel (u otra herramienta analítica):</w:t>
      </w:r>
    </w:p>
    <w:p>
      <w:pPr>
        <w:pStyle w:val="ListBullet"/>
        <w:keepLines w:val="1"/>
        <w:keepNext w:val="1"/>
        <w:widowControl w:val="1"/>
      </w:pPr>
      <w:r>
        <w:t>Catalogo_Indicadores con pesos por dimensión y global.</w:t>
      </w:r>
    </w:p>
    <w:p>
      <w:pPr>
        <w:pStyle w:val="ListBullet"/>
        <w:keepLines w:val="1"/>
        <w:keepNext w:val="1"/>
        <w:widowControl w:val="1"/>
      </w:pPr>
      <w:r>
        <w:t>Datos_Anuales con los valores brutos por año/ámbito.</w:t>
      </w:r>
    </w:p>
    <w:p>
      <w:pPr>
        <w:pStyle w:val="ListBullet"/>
        <w:keepLines w:val="1"/>
        <w:keepNext w:val="1"/>
        <w:widowControl w:val="1"/>
      </w:pPr>
      <w:r>
        <w:t>Calculos_Indices para normalizar y producir IGM + índices por dimensión.</w:t>
      </w:r>
    </w:p>
    <w:p>
      <w:pPr>
        <w:pStyle w:val="ListBullet"/>
        <w:keepLines w:val="1"/>
        <w:keepNext w:val="1"/>
        <w:widowControl w:val="1"/>
      </w:pPr>
      <w:r>
        <w:t>ROI_Programas para conectar políticas con resultados.</w:t>
      </w:r>
    </w:p>
    <w:p>
      <w:pPr>
        <w:pStyle w:val="ListBullet"/>
        <w:keepLines w:val="1"/>
        <w:keepNext w:val="1"/>
        <w:widowControl w:val="1"/>
      </w:pPr>
      <w:r>
        <w:t>Definir:</w:t>
      </w:r>
    </w:p>
    <w:p>
      <w:pPr>
        <w:pStyle w:val="ListBullet"/>
        <w:keepLines w:val="1"/>
        <w:keepNext w:val="1"/>
        <w:widowControl w:val="1"/>
      </w:pPr>
      <w:r>
        <w:t>Responsables de aportar cada dato.</w:t>
      </w:r>
    </w:p>
    <w:p>
      <w:pPr>
        <w:pStyle w:val="ListBullet"/>
        <w:keepLines w:val="1"/>
        <w:keepNext w:val="1"/>
        <w:widowControl w:val="1"/>
      </w:pPr>
      <w:r>
        <w:t>Frecuencia de actualización (anual, semestral…).</w:t>
      </w:r>
    </w:p>
    <w:p>
      <w:pPr>
        <w:pStyle w:val="ListBullet"/>
        <w:keepLines w:val="1"/>
        <w:widowControl w:val="1"/>
      </w:pPr>
      <w:r>
        <w:t>Reglas de normalización y gestión de datos faltantes.</w:t>
      </w:r>
    </w:p>
    <w:p>
      <w:pPr>
        <w:pStyle w:val="Heading3"/>
        <w:keepNext/>
        <w:keepLines/>
      </w:pPr>
      <w:r>
        <w:t>Paso 4. Evaluación PRAGMATIC</w:t>
      </w:r>
    </w:p>
    <w:p>
      <w:pPr>
        <w:pStyle w:val="ListBullet"/>
        <w:keepLines w:val="1"/>
        <w:keepNext w:val="1"/>
        <w:widowControl w:val="1"/>
      </w:pPr>
      <w:r>
        <w:t>Revisar matriz-prag.md para:</w:t>
      </w:r>
    </w:p>
    <w:p>
      <w:pPr>
        <w:pStyle w:val="ListBullet"/>
        <w:keepLines w:val="1"/>
        <w:keepNext w:val="1"/>
        <w:widowControl w:val="1"/>
      </w:pPr>
      <w:r>
        <w:t>Entender fortalezas y debilidades de cada indicador.</w:t>
      </w:r>
    </w:p>
    <w:p>
      <w:pPr>
        <w:pStyle w:val="ListBullet"/>
        <w:keepLines w:val="1"/>
        <w:keepNext w:val="1"/>
        <w:widowControl w:val="1"/>
      </w:pPr>
      <w:r>
        <w:t>Ajustar definiciones donde Preciso, Independiente o Rentable tengan valor bajo.</w:t>
      </w:r>
    </w:p>
    <w:p>
      <w:pPr>
        <w:pStyle w:val="ListBullet"/>
        <w:keepLines w:val="1"/>
        <w:widowControl w:val="1"/>
      </w:pPr>
      <w:r>
        <w:t>Decidir si se mantienen todas las métricas o si alguna pasa a ser experimental.</w:t>
      </w:r>
    </w:p>
    <w:p>
      <w:pPr>
        <w:pStyle w:val="Heading3"/>
        <w:keepNext/>
        <w:keepLines/>
      </w:pPr>
      <w:r>
        <w:t>Paso 5. Recogida inicial de datos</w:t>
      </w:r>
    </w:p>
    <w:p>
      <w:pPr>
        <w:pStyle w:val="ListBullet"/>
        <w:keepLines w:val="1"/>
        <w:keepNext w:val="1"/>
        <w:widowControl w:val="1"/>
      </w:pPr>
      <w:r>
        <w:t>Lanzar una primera iteración piloto con unos pocos indicadores (por ejemplo, IND‑01, 02, 03, 05, 06, 08, 12, 14).</w:t>
      </w:r>
    </w:p>
    <w:p>
      <w:pPr>
        <w:pStyle w:val="ListBullet"/>
        <w:keepLines w:val="1"/>
        <w:keepNext w:val="1"/>
        <w:widowControl w:val="1"/>
      </w:pPr>
      <w:r>
        <w:t>Probar el flujo:</w:t>
      </w:r>
    </w:p>
    <w:p>
      <w:pPr>
        <w:pStyle w:val="ListBullet"/>
        <w:keepLines w:val="1"/>
        <w:keepNext w:val="1"/>
        <w:widowControl w:val="1"/>
      </w:pPr>
      <w:r>
        <w:t>Obtención de datos.</w:t>
      </w:r>
    </w:p>
    <w:p>
      <w:pPr>
        <w:pStyle w:val="ListBullet"/>
        <w:keepLines w:val="1"/>
        <w:keepNext w:val="1"/>
        <w:widowControl w:val="1"/>
      </w:pPr>
      <w:r>
        <w:t>Carga en Excel.</w:t>
      </w:r>
    </w:p>
    <w:p>
      <w:pPr>
        <w:pStyle w:val="ListBullet"/>
        <w:keepLines w:val="1"/>
        <w:keepNext w:val="1"/>
        <w:widowControl w:val="1"/>
      </w:pPr>
      <w:r>
        <w:t>Cálculo de índices.</w:t>
      </w:r>
    </w:p>
    <w:p>
      <w:pPr>
        <w:pStyle w:val="ListBullet"/>
        <w:keepLines w:val="1"/>
        <w:widowControl w:val="1"/>
      </w:pPr>
      <w:r>
        <w:t>Ajustar antes de escalar al catálogo completo.</w:t>
      </w:r>
    </w:p>
    <w:p>
      <w:pPr>
        <w:pStyle w:val="Heading3"/>
        <w:keepNext/>
        <w:keepLines/>
      </w:pPr>
      <w:r>
        <w:t>Paso 6. Elaboración del reporte ejecutivo</w:t>
      </w:r>
    </w:p>
    <w:p>
      <w:pPr>
        <w:pStyle w:val="ListBullet"/>
        <w:keepLines w:val="1"/>
        <w:keepNext w:val="1"/>
        <w:widowControl w:val="1"/>
      </w:pPr>
      <w:r>
        <w:t>Basarse en ppt-bcm.md para crear la presentación a:</w:t>
      </w:r>
    </w:p>
    <w:p>
      <w:pPr>
        <w:pStyle w:val="ListBullet"/>
        <w:keepLines w:val="1"/>
        <w:keepNext w:val="1"/>
        <w:widowControl w:val="1"/>
      </w:pPr>
      <w:r>
        <w:t>Consejo de Ministros / órganos de coordinación de ciberseguridad.</w:t>
      </w:r>
    </w:p>
    <w:p>
      <w:pPr>
        <w:pStyle w:val="ListBullet"/>
        <w:keepLines w:val="1"/>
        <w:keepNext w:val="1"/>
        <w:widowControl w:val="1"/>
      </w:pPr>
      <w:r>
        <w:t>Reguladores sectoriales, CCAA, etc.</w:t>
      </w:r>
    </w:p>
    <w:p>
      <w:pPr>
        <w:pStyle w:val="ListBullet"/>
        <w:keepLines w:val="1"/>
        <w:keepNext w:val="1"/>
        <w:widowControl w:val="1"/>
      </w:pPr>
      <w:r>
        <w:t>Asegurarse de que el reporte:</w:t>
      </w:r>
    </w:p>
    <w:p>
      <w:pPr>
        <w:pStyle w:val="ListBullet"/>
        <w:keepLines w:val="1"/>
        <w:keepNext w:val="1"/>
        <w:widowControl w:val="1"/>
      </w:pPr>
      <w:r>
        <w:t xml:space="preserve">Explica la metodología con claridad (sin abrumar). </w:t>
      </w:r>
    </w:p>
    <w:p>
      <w:pPr>
        <w:pStyle w:val="ListBullet"/>
        <w:keepLines w:val="1"/>
        <w:keepNext w:val="1"/>
        <w:widowControl w:val="1"/>
      </w:pPr>
      <w:r>
        <w:t xml:space="preserve">Expone resultados clave y brechas.  </w:t>
      </w:r>
    </w:p>
    <w:p>
      <w:pPr>
        <w:pStyle w:val="ListBullet"/>
        <w:keepLines w:val="1"/>
        <w:widowControl w:val="1"/>
      </w:pPr>
      <w:r>
        <w:t>Propone un conjunto manejable de iniciativas prioritarias.</w:t>
      </w:r>
    </w:p>
    <w:p>
      <w:pPr>
        <w:pStyle w:val="Heading3"/>
        <w:keepNext/>
        <w:keepLines/>
      </w:pPr>
      <w:r>
        <w:t>Paso 7. Ciclo de mejora</w:t>
      </w:r>
    </w:p>
    <w:p>
      <w:pPr>
        <w:pStyle w:val="ListBullet"/>
        <w:keepLines w:val="1"/>
        <w:keepNext w:val="1"/>
        <w:widowControl w:val="1"/>
      </w:pPr>
      <w:r>
        <w:t>Establecer un ciclo anual (o bianual) de:</w:t>
      </w:r>
    </w:p>
    <w:p>
      <w:pPr>
        <w:pStyle w:val="ListBullet"/>
        <w:keepLines w:val="1"/>
        <w:keepNext w:val="1"/>
        <w:widowControl w:val="1"/>
      </w:pPr>
      <w:r>
        <w:t>Actualización de datos.</w:t>
      </w:r>
    </w:p>
    <w:p>
      <w:pPr>
        <w:pStyle w:val="ListBullet"/>
        <w:keepLines w:val="1"/>
        <w:keepNext w:val="1"/>
        <w:widowControl w:val="1"/>
      </w:pPr>
      <w:r>
        <w:t>Revisión de indicadores y metodología.</w:t>
      </w:r>
    </w:p>
    <w:p>
      <w:pPr>
        <w:pStyle w:val="ListBullet"/>
        <w:keepLines w:val="1"/>
        <w:widowControl w:val="1"/>
      </w:pPr>
      <w:r>
        <w:t>Ajuste de programas y prioridades.</w:t>
      </w:r>
    </w:p>
    <w:p>
      <w:pPr>
        <w:pStyle w:val="Heading2"/>
        <w:keepNext/>
        <w:keepLines/>
      </w:pPr>
      <w:r>
        <w:rPr>
          <w:color w:val="0066CC"/>
        </w:rPr>
        <w:t>3. Interacción con la encuesta organizacional</w:t>
      </w:r>
    </w:p>
    <w:p>
      <w:r>
        <w:t xml:space="preserve">Este kit de indicadores nacionales está pensado para convivir con el </w:t>
      </w:r>
      <w:r>
        <w:rPr>
          <w:b/>
        </w:rPr>
        <w:t>kit de encuesta organizacional</w:t>
      </w:r>
      <w:r>
        <w:t xml:space="preserve"> (orientado a empresas/administraciones individuales):</w:t>
      </w:r>
    </w:p>
    <w:p>
      <w:pPr>
        <w:pStyle w:val="ListBullet"/>
        <w:keepLines w:val="1"/>
        <w:keepNext w:val="1"/>
        <w:widowControl w:val="1"/>
      </w:pPr>
      <w:r>
        <w:t>El IGM nacional puede verse como una «media ponderada» de la madurez de muchos actores.</w:t>
      </w:r>
    </w:p>
    <w:p>
      <w:pPr>
        <w:pStyle w:val="ListBullet"/>
        <w:keepLines w:val="1"/>
        <w:widowControl w:val="1"/>
      </w:pPr>
      <w:r>
        <w:t>La encuesta organizacional ayuda a explicar por qué ciertos indicadores nacionales están altos, bajos o estancados.</w:t>
      </w:r>
    </w:p>
    <w:p>
      <w:r>
        <w:t xml:space="preserve">Combinados, ambos kits permiten un enfoque </w:t>
      </w:r>
      <w:r>
        <w:rPr>
          <w:b/>
        </w:rPr>
        <w:t>top‑down</w:t>
      </w:r>
      <w:r>
        <w:t xml:space="preserve"> (indicadores país) y </w:t>
      </w:r>
      <w:r>
        <w:rPr>
          <w:b/>
        </w:rPr>
        <w:t>bottom‑up</w:t>
      </w:r>
      <w:r>
        <w:t xml:space="preserve"> (madurez de organizaciones), con una narrativa coherente.</w:t>
      </w:r>
    </w:p>
    <w:p>
      <w:pPr>
        <w:pStyle w:val="Heading2"/>
        <w:keepNext/>
        <w:keepLines/>
      </w:pPr>
      <w:r>
        <w:rPr>
          <w:color w:val="0066CC"/>
        </w:rPr>
        <w:t>4. Gobernanza recomendada del sistema de indicadores</w:t>
      </w:r>
    </w:p>
    <w:p>
      <w:r>
        <w:t>Roles sugeridos:</w:t>
      </w:r>
    </w:p>
    <w:p>
      <w:pPr>
        <w:pStyle w:val="ListBullet"/>
        <w:keepLines w:val="1"/>
        <w:keepNext w:val="1"/>
        <w:widowControl w:val="1"/>
      </w:pPr>
      <w:r>
        <w:t>Autoridad coordinadora nacional (p.ej. futuro Centro Nacional de Ciberseguridad):</w:t>
      </w:r>
    </w:p>
    <w:p>
      <w:pPr>
        <w:pStyle w:val="ListBullet"/>
        <w:keepLines w:val="1"/>
        <w:keepNext w:val="1"/>
        <w:widowControl w:val="1"/>
      </w:pPr>
      <w:r>
        <w:t>Dueño del catálogo IND‑xx.</w:t>
      </w:r>
    </w:p>
    <w:p>
      <w:pPr>
        <w:pStyle w:val="ListBullet"/>
        <w:keepLines w:val="1"/>
        <w:keepNext w:val="1"/>
        <w:widowControl w:val="1"/>
      </w:pPr>
      <w:r>
        <w:t>Responsable de Catalogo_Indicadores y Calculos_Indices.</w:t>
      </w:r>
    </w:p>
    <w:p>
      <w:pPr>
        <w:pStyle w:val="ListBullet"/>
        <w:keepLines w:val="1"/>
        <w:keepNext w:val="1"/>
        <w:widowControl w:val="1"/>
      </w:pPr>
      <w:r>
        <w:t>Proveedores de datos:</w:t>
      </w:r>
    </w:p>
    <w:p>
      <w:pPr>
        <w:pStyle w:val="ListBullet"/>
        <w:keepLines w:val="1"/>
        <w:keepNext w:val="1"/>
        <w:widowControl w:val="1"/>
      </w:pPr>
      <w:r>
        <w:t>CERTs nacionales (INCIBE‑CERT, CCN‑CERT, ESDF‑CERT…).</w:t>
      </w:r>
    </w:p>
    <w:p>
      <w:pPr>
        <w:pStyle w:val="ListBullet"/>
        <w:keepLines w:val="1"/>
        <w:keepNext w:val="1"/>
        <w:widowControl w:val="1"/>
      </w:pPr>
      <w:r>
        <w:t>Reguladores sectoriales (CNMV, BdE, CNMC, sanidad, energía…).</w:t>
      </w:r>
    </w:p>
    <w:p>
      <w:pPr>
        <w:pStyle w:val="ListBullet"/>
        <w:keepLines w:val="1"/>
        <w:keepNext w:val="1"/>
        <w:widowControl w:val="1"/>
      </w:pPr>
      <w:r>
        <w:t>Ministerios y agencias implicadas en PNC y ENCS.</w:t>
      </w:r>
    </w:p>
    <w:p>
      <w:pPr>
        <w:pStyle w:val="ListBullet"/>
        <w:keepLines w:val="1"/>
        <w:keepNext w:val="1"/>
        <w:widowControl w:val="1"/>
      </w:pPr>
      <w:r>
        <w:t>Analistas y modelizadores:</w:t>
      </w:r>
    </w:p>
    <w:p>
      <w:pPr>
        <w:pStyle w:val="ListBullet"/>
        <w:keepLines w:val="1"/>
        <w:keepNext w:val="1"/>
        <w:widowControl w:val="1"/>
      </w:pPr>
      <w:r>
        <w:t>Equipo encargado de mantenimiento de Excel / herramienta analítica.</w:t>
      </w:r>
    </w:p>
    <w:p>
      <w:pPr>
        <w:pStyle w:val="ListBullet"/>
        <w:keepLines w:val="1"/>
        <w:widowControl w:val="1"/>
      </w:pPr>
      <w:r>
        <w:t>Responsables de análisis de tendencias y escenarios.</w:t>
      </w:r>
    </w:p>
    <w:p>
      <w:pPr>
        <w:pStyle w:val="Heading2"/>
        <w:keepNext/>
        <w:keepLines/>
      </w:pPr>
      <w:r>
        <w:rPr>
          <w:color w:val="0066CC"/>
        </w:rPr>
        <w:t>5. Buenas prácticas y advertencias</w:t>
      </w:r>
    </w:p>
    <w:p>
      <w:pPr>
        <w:pStyle w:val="ListBullet"/>
        <w:keepLines w:val="1"/>
        <w:keepNext w:val="1"/>
        <w:widowControl w:val="1"/>
      </w:pPr>
      <w:r>
        <w:t>No enamorarse de las métricas: si un indicador resulta sistemáticamente poco útil o engañoso, se revisa o se jubila.</w:t>
      </w:r>
    </w:p>
    <w:p>
      <w:pPr>
        <w:pStyle w:val="ListBullet"/>
        <w:keepLines w:val="1"/>
        <w:keepNext w:val="1"/>
        <w:widowControl w:val="1"/>
      </w:pPr>
      <w:r>
        <w:t>Documentar cambios: cada modificación en definiciones o pesos afecta a la comparabilidad histórica; conviene dejar rastro.</w:t>
      </w:r>
    </w:p>
    <w:p>
      <w:pPr>
        <w:pStyle w:val="ListBullet"/>
        <w:keepLines w:val="1"/>
        <w:keepNext w:val="1"/>
        <w:widowControl w:val="1"/>
      </w:pPr>
      <w:r>
        <w:t>Ser honestos con la incertidumbre: especialmente en métricas como IND‑10 (impacto económico % PIB), explicitar márgenes y supuestos.</w:t>
      </w:r>
    </w:p>
    <w:p>
      <w:pPr>
        <w:pStyle w:val="ListBullet"/>
        <w:keepLines w:val="1"/>
        <w:widowControl w:val="1"/>
      </w:pPr>
      <w:r>
        <w:t>Evitar el «dashboard teatro»: que los gráficos no sean decorado, sino el punto de partida de conversaciones difíciles pero necesarias.</w:t>
      </w:r>
    </w:p>
    <w:p>
      <w:pPr>
        <w:pStyle w:val="Heading2"/>
        <w:keepNext/>
        <w:keepLines/>
      </w:pPr>
      <w:r>
        <w:rPr>
          <w:color w:val="0066CC"/>
        </w:rPr>
        <w:t>6. Cierre</w:t>
      </w:r>
    </w:p>
    <w:p>
      <w:r>
        <w:t xml:space="preserve">Este kit pretende ofrecer algo más que un conjunto de números: un </w:t>
      </w:r>
      <w:r>
        <w:rPr>
          <w:b/>
        </w:rPr>
        <w:t>lenguaje compartido</w:t>
      </w:r>
      <w:r>
        <w:t xml:space="preserve"> para hablar de ciber‑resiliencia nacional de forma rigurosa, transparente y orientada a la acción.</w:t>
      </w:r>
    </w:p>
    <w:p>
      <w:r>
        <w:t>Con un poco de disciplina, algo de sentido del humor y ganas de mejorar, puede convertirse en una de esas infraestructuras invisibles que, sin hacer ruido, marcan la diferencia cuando llegan los días complicados.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