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de Ciberseguridad, Continuidad de Negocio y Ciber‑Resiliencia</w:t>
      </w:r>
    </w:p>
    <w:p>
      <w:r>
        <w:t xml:space="preserve">Bienvenido al </w:t>
      </w:r>
      <w:r>
        <w:rPr>
          <w:b/>
        </w:rPr>
        <w:t>Kit de Encuesta</w:t>
      </w:r>
      <w:r>
        <w:t>, un conjunto de herramientas diseñado para ayudar a tu organización (o conjunto de organizaciones) a:</w:t>
      </w:r>
    </w:p>
    <w:p>
      <w:pPr>
        <w:pStyle w:val="ListBullet"/>
        <w:keepLines w:val="1"/>
        <w:keepNext w:val="1"/>
        <w:widowControl w:val="1"/>
      </w:pPr>
      <w:r>
        <w:t>Diagnosticar su nivel de madurez en ciberseguridad y continuidad.</w:t>
      </w:r>
    </w:p>
    <w:p>
      <w:pPr>
        <w:pStyle w:val="ListBullet"/>
        <w:keepLines w:val="1"/>
        <w:keepNext w:val="1"/>
        <w:widowControl w:val="1"/>
      </w:pPr>
      <w:r>
        <w:t>Compararse consigo misma en el tiempo y, si se desea, con otras entidades.</w:t>
      </w:r>
    </w:p>
    <w:p>
      <w:pPr>
        <w:pStyle w:val="ListBullet"/>
        <w:keepLines w:val="1"/>
        <w:widowControl w:val="1"/>
      </w:pPr>
      <w:r>
        <w:t>Priorizar acciones de mejora e inversiones con criterio.</w:t>
      </w:r>
    </w:p>
    <w:p>
      <w:r>
        <w:t xml:space="preserve">Este README explica </w:t>
      </w:r>
      <w:r>
        <w:rPr>
          <w:b/>
        </w:rPr>
        <w:t>qué contiene el kit, cómo usar cada pieza y en qué orden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1. Contenidos del kit</w:t>
      </w:r>
    </w:p>
    <w:p>
      <w:r>
        <w:t>El kit está compuesto por los siguientes elementos en formato Markdown:</w:t>
      </w:r>
    </w:p>
    <w:p>
      <w:pPr>
        <w:pStyle w:val="ListNumber"/>
        <w:keepLines w:val="1"/>
        <w:keepNext w:val="1"/>
        <w:widowControl w:val="1"/>
      </w:pPr>
      <w:r>
        <w:br/>
        <w:t>encuesta-modelo.md</w:t>
        <w:br/>
        <w:t xml:space="preserve">   Modelo completo de encuesta, con todas las preguntas y opciones de respuesta.</w:t>
        <w:br/>
      </w:r>
    </w:p>
    <w:p>
      <w:pPr>
        <w:pStyle w:val="ListNumber"/>
        <w:keepLines w:val="1"/>
        <w:keepNext w:val="1"/>
        <w:widowControl w:val="1"/>
      </w:pPr>
      <w:r>
        <w:br/>
        <w:t>guia-metodo.md</w:t>
        <w:br/>
        <w:t xml:space="preserve">   Guía metodológica para aplicar la encuesta, puntuarla y calcular el Índice Global de Madurez (IGM).</w:t>
        <w:br/>
      </w:r>
    </w:p>
    <w:p>
      <w:pPr>
        <w:pStyle w:val="ListNumber"/>
        <w:keepLines w:val="1"/>
        <w:keepNext w:val="1"/>
        <w:widowControl w:val="1"/>
      </w:pPr>
      <w:r>
        <w:br/>
        <w:t>narrativa-exp.md</w:t>
        <w:br/>
        <w:t xml:space="preserve">   Narrativa explicativa para acompañar la encuesta (correo de invitación, mensajes a la dirección, FAQ, etc.).</w:t>
        <w:br/>
      </w:r>
    </w:p>
    <w:p>
      <w:pPr>
        <w:pStyle w:val="ListNumber"/>
        <w:keepLines w:val="1"/>
        <w:keepNext w:val="1"/>
        <w:widowControl w:val="1"/>
      </w:pPr>
      <w:r>
        <w:br/>
        <w:t>mapeo-normas.md</w:t>
        <w:br/>
        <w:t xml:space="preserve">   Tabla de mapeo de cada pregunta con los principales marcos normativos (ENS, NIS2, DORA, ISO 27001, ISO 22301, etc.).</w:t>
        <w:br/>
      </w:r>
    </w:p>
    <w:p>
      <w:pPr>
        <w:pStyle w:val="ListNumber"/>
        <w:keepLines w:val="1"/>
        <w:keepNext w:val="1"/>
        <w:widowControl w:val="1"/>
      </w:pPr>
      <w:r>
        <w:br/>
        <w:t>plantilla-igm-roi.md</w:t>
        <w:br/>
        <w:t xml:space="preserve">   Descripción de la plantilla Excel para cálculo del IGM, índices por dominio y modelado sencillo de ROI.</w:t>
        <w:br/>
      </w:r>
    </w:p>
    <w:p>
      <w:pPr>
        <w:pStyle w:val="ListNumber"/>
        <w:keepLines w:val="1"/>
        <w:widowControl w:val="1"/>
      </w:pPr>
      <w:r>
        <w:br/>
        <w:t>ppt-reporte.md</w:t>
        <w:br/>
        <w:t xml:space="preserve">   Plantilla conceptual para construir un reporte ejecutivo en PowerPoint u otra herramienta de presentación.</w:t>
        <w:br/>
      </w:r>
    </w:p>
    <w:p>
      <w:r>
        <w:rPr>
          <w:rFonts w:ascii="Courier New" w:hAnsi="Courier New"/>
          <w:sz w:val="18"/>
        </w:rPr>
        <w:t>encuesta-modelo.md</w:t>
      </w:r>
      <w:r/>
      <w:r>
        <w:br/>
        <w:t xml:space="preserve">   Modelo completo de encuesta, con todas las preguntas y opciones de respuesta.</w:t>
      </w:r>
    </w:p>
    <w:p>
      <w:r>
        <w:rPr>
          <w:rFonts w:ascii="Courier New" w:hAnsi="Courier New"/>
          <w:sz w:val="18"/>
        </w:rPr>
        <w:t>guia-metodo.md</w:t>
      </w:r>
      <w:r/>
      <w:r>
        <w:br/>
        <w:t xml:space="preserve">   Guía metodológica para aplicar la encuesta, puntuarla y calcular el Índice Global de Madurez (IGM).</w:t>
      </w:r>
    </w:p>
    <w:p>
      <w:r>
        <w:rPr>
          <w:rFonts w:ascii="Courier New" w:hAnsi="Courier New"/>
          <w:sz w:val="18"/>
        </w:rPr>
        <w:t>narrativa-exp.md</w:t>
      </w:r>
      <w:r/>
      <w:r>
        <w:br/>
        <w:t xml:space="preserve">   Narrativa explicativa para acompañar la encuesta (correo de invitación, mensajes a la dirección, FAQ, etc.).</w:t>
      </w:r>
    </w:p>
    <w:p>
      <w:r>
        <w:rPr>
          <w:rFonts w:ascii="Courier New" w:hAnsi="Courier New"/>
          <w:sz w:val="18"/>
        </w:rPr>
        <w:t>mapeo-normas.md</w:t>
      </w:r>
      <w:r/>
      <w:r>
        <w:br/>
        <w:t xml:space="preserve">   Tabla de mapeo de cada pregunta con los principales marcos normativos (ENS, NIS2, DORA, ISO 27001, ISO 22301, etc.).</w:t>
      </w:r>
    </w:p>
    <w:p>
      <w:r>
        <w:rPr>
          <w:rFonts w:ascii="Courier New" w:hAnsi="Courier New"/>
          <w:sz w:val="18"/>
        </w:rPr>
        <w:t>plantilla-igm-roi.md</w:t>
      </w:r>
      <w:r/>
      <w:r>
        <w:br/>
        <w:t xml:space="preserve">   Descripción de la plantilla Excel para cálculo del IGM, índices por dominio y modelado sencillo de ROI.</w:t>
      </w:r>
    </w:p>
    <w:p>
      <w:r>
        <w:rPr>
          <w:rFonts w:ascii="Courier New" w:hAnsi="Courier New"/>
          <w:sz w:val="18"/>
        </w:rPr>
        <w:t>ppt-reporte.md</w:t>
      </w:r>
      <w:r/>
      <w:r>
        <w:br/>
        <w:t xml:space="preserve">   Plantilla conceptual para construir un reporte ejecutivo en PowerPoint u otra herramienta de presentación.</w:t>
      </w:r>
    </w:p>
    <w:p>
      <w:r>
        <w:t xml:space="preserve">Este README es el </w:t>
      </w:r>
      <w:r>
        <w:rPr>
          <w:b/>
        </w:rPr>
        <w:t>manual de instrucciones</w:t>
      </w:r>
      <w:r>
        <w:t xml:space="preserve"> para orquestar todos estos componentes.</w:t>
      </w:r>
    </w:p>
    <w:p>
      <w:pPr>
        <w:pStyle w:val="Heading2"/>
        <w:keepNext/>
        <w:keepLines/>
      </w:pPr>
      <w:r>
        <w:rPr>
          <w:color w:val="0066CC"/>
        </w:rPr>
        <w:t>2. Orden recomendado de uso</w:t>
      </w:r>
    </w:p>
    <w:p>
      <w:pPr>
        <w:pStyle w:val="Heading3"/>
        <w:keepNext/>
        <w:keepLines/>
      </w:pPr>
      <w:r>
        <w:t>Paso 1. Adaptar la encuesta a tu contexto</w:t>
      </w:r>
    </w:p>
    <w:p>
      <w:pPr>
        <w:pStyle w:val="ListBullet"/>
        <w:keepLines w:val="1"/>
        <w:keepNext w:val="1"/>
        <w:widowControl w:val="1"/>
      </w:pPr>
      <w:r>
        <w:t>Abre encuesta-modelo.md.</w:t>
      </w:r>
    </w:p>
    <w:p>
      <w:pPr>
        <w:pStyle w:val="ListBullet"/>
        <w:keepLines w:val="1"/>
        <w:keepNext w:val="1"/>
        <w:widowControl w:val="1"/>
      </w:pPr>
      <w:r>
        <w:t>Revisa secciones, preguntas y opciones de respuesta.</w:t>
      </w:r>
    </w:p>
    <w:p>
      <w:pPr>
        <w:pStyle w:val="ListBullet"/>
        <w:keepLines w:val="1"/>
        <w:keepNext w:val="1"/>
        <w:widowControl w:val="1"/>
      </w:pPr>
      <w:r>
        <w:t>Adapta, si es necesario:</w:t>
      </w:r>
    </w:p>
    <w:p>
      <w:pPr>
        <w:pStyle w:val="ListBullet"/>
        <w:keepLines w:val="1"/>
        <w:keepNext w:val="1"/>
        <w:widowControl w:val="1"/>
      </w:pPr>
      <w:r>
        <w:t>Terminología sectorial (por ejemplo, salud, energía, administración local).</w:t>
      </w:r>
    </w:p>
    <w:p>
      <w:pPr>
        <w:pStyle w:val="ListBullet"/>
        <w:keepLines w:val="1"/>
        <w:keepNext w:val="1"/>
        <w:widowControl w:val="1"/>
      </w:pPr>
      <w:r>
        <w:t>Referencias a regulaciones específicas adicionales.</w:t>
      </w:r>
    </w:p>
    <w:p>
      <w:pPr>
        <w:pStyle w:val="ListBullet"/>
        <w:keepLines w:val="1"/>
        <w:widowControl w:val="1"/>
      </w:pPr>
      <w:r>
        <w:t>Número de preguntas, si necesitas reducir o ampliar el alcance.</w:t>
      </w:r>
    </w:p>
    <w:p>
      <w:r>
        <w:t xml:space="preserve">Consejo: Mantén los </w:t>
      </w:r>
      <w:r>
        <w:rPr>
          <w:b/>
        </w:rPr>
        <w:t>códigos de pregunta (GOV‑01, BCM‑03, etc.)</w:t>
      </w:r>
      <w:r>
        <w:t>, aunque cambies el texto, para preservar la compatibilidad con el mapeo normativo y la plantilla Excel.</w:t>
      </w:r>
    </w:p>
    <w:p>
      <w:pPr>
        <w:pStyle w:val="Heading3"/>
        <w:keepNext/>
        <w:keepLines/>
      </w:pPr>
      <w:r>
        <w:t>Paso 2. Preparar la campaña de encuesta</w:t>
      </w:r>
    </w:p>
    <w:p>
      <w:pPr>
        <w:pStyle w:val="ListBullet"/>
        <w:keepLines w:val="1"/>
        <w:keepNext w:val="1"/>
        <w:widowControl w:val="1"/>
      </w:pPr>
      <w:r>
        <w:t>Lee narrativa-exp.md y selecciona/ajusta el texto de invitación a:</w:t>
      </w:r>
    </w:p>
    <w:p>
      <w:pPr>
        <w:pStyle w:val="ListBullet"/>
        <w:keepLines w:val="1"/>
        <w:keepNext w:val="1"/>
        <w:widowControl w:val="1"/>
      </w:pPr>
      <w:r>
        <w:t>Participantes técnicos (CISO, TI, BCM, riesgos).</w:t>
      </w:r>
    </w:p>
    <w:p>
      <w:pPr>
        <w:pStyle w:val="ListBullet"/>
        <w:keepLines w:val="1"/>
        <w:keepNext w:val="1"/>
        <w:widowControl w:val="1"/>
      </w:pPr>
      <w:r>
        <w:t>Alta dirección (nota ejecutiva).</w:t>
      </w:r>
    </w:p>
    <w:p>
      <w:pPr>
        <w:pStyle w:val="ListBullet"/>
        <w:keepLines w:val="1"/>
        <w:keepNext w:val="1"/>
        <w:widowControl w:val="1"/>
      </w:pPr>
      <w:r>
        <w:t>Decide la modalidad de aplicación:</w:t>
      </w:r>
    </w:p>
    <w:p>
      <w:pPr>
        <w:pStyle w:val="ListBullet"/>
        <w:keepLines w:val="1"/>
        <w:keepNext w:val="1"/>
        <w:widowControl w:val="1"/>
      </w:pPr>
      <w:r>
        <w:t>Entrevistas estructuradas.</w:t>
      </w:r>
    </w:p>
    <w:p>
      <w:pPr>
        <w:pStyle w:val="ListBullet"/>
        <w:keepLines w:val="1"/>
        <w:keepNext w:val="1"/>
        <w:widowControl w:val="1"/>
      </w:pPr>
      <w:r>
        <w:t>Autoevaluación guiada.</w:t>
      </w:r>
    </w:p>
    <w:p>
      <w:pPr>
        <w:pStyle w:val="ListBullet"/>
        <w:keepLines w:val="1"/>
        <w:widowControl w:val="1"/>
      </w:pPr>
      <w:r>
        <w:t>Enfoque mixto.</w:t>
      </w:r>
    </w:p>
    <w:p>
      <w:pPr>
        <w:pStyle w:val="Heading3"/>
        <w:keepNext/>
        <w:keepLines/>
      </w:pPr>
      <w:r>
        <w:t>Paso 3. Construir la plantilla de recogida de datos</w:t>
      </w:r>
    </w:p>
    <w:p>
      <w:pPr>
        <w:pStyle w:val="ListBullet"/>
        <w:keepLines w:val="1"/>
        <w:keepNext w:val="1"/>
        <w:widowControl w:val="1"/>
      </w:pPr>
      <w:r>
        <w:t>Usa plantilla-igm-roi.md como guía para crear el archivo Excel (o herramienta equivalente):</w:t>
      </w:r>
    </w:p>
    <w:p>
      <w:pPr>
        <w:pStyle w:val="ListBullet"/>
        <w:keepLines w:val="1"/>
        <w:keepNext w:val="1"/>
        <w:widowControl w:val="1"/>
      </w:pPr>
      <w:r>
        <w:t>Hoja Diccionario_Preguntas con todos los códigos e información básica.</w:t>
      </w:r>
    </w:p>
    <w:p>
      <w:pPr>
        <w:pStyle w:val="ListBullet"/>
        <w:keepLines w:val="1"/>
        <w:keepNext w:val="1"/>
        <w:widowControl w:val="1"/>
      </w:pPr>
      <w:r>
        <w:t>Hoja Datos_Respuestas para registrar las contestaciones.</w:t>
      </w:r>
    </w:p>
    <w:p>
      <w:pPr>
        <w:pStyle w:val="ListBullet"/>
        <w:keepLines w:val="1"/>
        <w:widowControl w:val="1"/>
      </w:pPr>
      <w:r>
        <w:t>Hojas Cálculos_Madurez, ROI_Costes_Beneficios y Cuadro_Mando para el análisis.</w:t>
      </w:r>
    </w:p>
    <w:p>
      <w:pPr>
        <w:pStyle w:val="Heading3"/>
        <w:keepNext/>
        <w:keepLines/>
      </w:pPr>
      <w:r>
        <w:t>Paso 4. Aplicar la encuesta</w:t>
      </w:r>
    </w:p>
    <w:p>
      <w:pPr>
        <w:pStyle w:val="ListBullet"/>
        <w:keepLines w:val="1"/>
        <w:keepNext w:val="1"/>
        <w:widowControl w:val="1"/>
      </w:pPr>
      <w:r>
        <w:t>Sigue los pasos de guia-metodo.md:</w:t>
      </w:r>
    </w:p>
    <w:p>
      <w:pPr>
        <w:pStyle w:val="ListBullet"/>
        <w:keepLines w:val="1"/>
        <w:keepNext w:val="1"/>
        <w:widowControl w:val="1"/>
      </w:pPr>
      <w:r>
        <w:t>Definir ámbito, participantes y calendario.</w:t>
      </w:r>
    </w:p>
    <w:p>
      <w:pPr>
        <w:pStyle w:val="ListBullet"/>
        <w:keepLines w:val="1"/>
        <w:keepNext w:val="1"/>
        <w:widowControl w:val="1"/>
      </w:pPr>
      <w:r>
        <w:t>Estimar duración por sesión.</w:t>
      </w:r>
    </w:p>
    <w:p>
      <w:pPr>
        <w:pStyle w:val="ListBullet"/>
        <w:keepLines w:val="1"/>
        <w:widowControl w:val="1"/>
      </w:pPr>
      <w:r>
        <w:t>Gestionar discrepancias con elegancia y sin juicios sumarísimos.</w:t>
      </w:r>
    </w:p>
    <w:p>
      <w:pPr>
        <w:pStyle w:val="Heading3"/>
        <w:keepNext/>
        <w:keepLines/>
      </w:pPr>
      <w:r>
        <w:t>Paso 5. Cargar y revisar datos</w:t>
      </w:r>
    </w:p>
    <w:p>
      <w:pPr>
        <w:pStyle w:val="ListBullet"/>
        <w:keepLines w:val="1"/>
        <w:keepNext w:val="1"/>
        <w:widowControl w:val="1"/>
      </w:pPr>
      <w:r>
        <w:t>Volcar las respuestas en la hoja Datos_Respuestas.</w:t>
      </w:r>
    </w:p>
    <w:p>
      <w:pPr>
        <w:pStyle w:val="ListBullet"/>
        <w:keepLines w:val="1"/>
        <w:keepNext w:val="1"/>
        <w:widowControl w:val="1"/>
      </w:pPr>
      <w:r>
        <w:t>Comprobar que las fórmulas de puntuación y de cálculo de IMD/IGM funcionan según lo esperado.</w:t>
      </w:r>
    </w:p>
    <w:p>
      <w:pPr>
        <w:pStyle w:val="ListBullet"/>
        <w:keepLines w:val="1"/>
        <w:widowControl w:val="1"/>
      </w:pPr>
      <w:r>
        <w:t>Corregir errores de codificación (por ejemplo, respuestas fuera de a–d).</w:t>
      </w:r>
    </w:p>
    <w:p>
      <w:pPr>
        <w:pStyle w:val="Heading3"/>
        <w:keepNext/>
        <w:keepLines/>
      </w:pPr>
      <w:r>
        <w:t>Paso 6. Analizar resultados</w:t>
      </w:r>
    </w:p>
    <w:p>
      <w:pPr>
        <w:pStyle w:val="ListBullet"/>
        <w:keepLines w:val="1"/>
        <w:keepNext w:val="1"/>
        <w:widowControl w:val="1"/>
      </w:pPr>
      <w:r>
        <w:t>Usar guia-metodo.md para interpretar IMD y IGM.</w:t>
      </w:r>
    </w:p>
    <w:p>
      <w:pPr>
        <w:pStyle w:val="ListBullet"/>
        <w:keepLines w:val="1"/>
        <w:keepNext w:val="1"/>
        <w:widowControl w:val="1"/>
      </w:pPr>
      <w:r>
        <w:t>Apoyarse en mapeo-normas.md para identificar:</w:t>
      </w:r>
    </w:p>
    <w:p>
      <w:pPr>
        <w:pStyle w:val="ListBullet"/>
        <w:keepLines w:val="1"/>
        <w:keepNext w:val="1"/>
        <w:widowControl w:val="1"/>
      </w:pPr>
      <w:r>
        <w:t>Preguntas con implicaciones regulatorias significativas.</w:t>
      </w:r>
    </w:p>
    <w:p>
      <w:pPr>
        <w:pStyle w:val="ListBullet"/>
        <w:keepLines w:val="1"/>
        <w:widowControl w:val="1"/>
      </w:pPr>
      <w:r>
        <w:t>Dominios con mayor brecha frente a ENS, NIS2, DORA o ISO.</w:t>
      </w:r>
    </w:p>
    <w:p>
      <w:pPr>
        <w:pStyle w:val="Heading3"/>
        <w:keepNext/>
        <w:keepLines/>
      </w:pPr>
      <w:r>
        <w:t>Paso 7. Preparar el reporte ejecutivo</w:t>
      </w:r>
    </w:p>
    <w:p>
      <w:pPr>
        <w:pStyle w:val="ListBullet"/>
        <w:keepLines w:val="1"/>
        <w:keepNext w:val="1"/>
        <w:widowControl w:val="1"/>
      </w:pPr>
      <w:r>
        <w:t>Basarse en ppt-reporte.md para estructurar una presentación clara:</w:t>
      </w:r>
    </w:p>
    <w:p>
      <w:pPr>
        <w:pStyle w:val="ListBullet"/>
        <w:keepLines w:val="1"/>
        <w:keepNext w:val="1"/>
        <w:widowControl w:val="1"/>
      </w:pPr>
      <w:r>
        <w:t>Foto global.</w:t>
      </w:r>
    </w:p>
    <w:p>
      <w:pPr>
        <w:pStyle w:val="ListBullet"/>
        <w:keepLines w:val="1"/>
        <w:keepNext w:val="1"/>
        <w:widowControl w:val="1"/>
      </w:pPr>
      <w:r>
        <w:t>Detalle por dominios clave.</w:t>
      </w:r>
    </w:p>
    <w:p>
      <w:pPr>
        <w:pStyle w:val="ListBullet"/>
        <w:keepLines w:val="1"/>
        <w:keepNext w:val="1"/>
        <w:widowControl w:val="1"/>
      </w:pPr>
      <w:r>
        <w:t>Riesgos de incumplimiento.</w:t>
      </w:r>
    </w:p>
    <w:p>
      <w:pPr>
        <w:pStyle w:val="ListBullet"/>
        <w:keepLines w:val="1"/>
        <w:widowControl w:val="1"/>
      </w:pPr>
      <w:r>
        <w:t>Plan de acción y roadmap.</w:t>
      </w:r>
    </w:p>
    <w:p>
      <w:pPr>
        <w:pStyle w:val="Heading2"/>
        <w:keepNext/>
        <w:keepLines/>
      </w:pPr>
      <w:r>
        <w:rPr>
          <w:color w:val="0066CC"/>
        </w:rPr>
        <w:t>3. Roles recomendados en el proyecto</w:t>
      </w:r>
    </w:p>
    <w:p>
      <w:r>
        <w:t>Para sacar el máximo partido al kit, conviene asignar ciertos roles (que pueden solaparse en organizaciones pequeñas):</w:t>
      </w:r>
    </w:p>
    <w:p>
      <w:pPr>
        <w:pStyle w:val="ListBullet"/>
        <w:keepLines w:val="1"/>
        <w:keepNext w:val="1"/>
        <w:widowControl w:val="1"/>
      </w:pPr>
      <w:r>
        <w:t>Patrocinio ejecutivo: miembro de la alta dirección que avala el ejercicio.</w:t>
      </w:r>
    </w:p>
    <w:p>
      <w:pPr>
        <w:pStyle w:val="ListBullet"/>
        <w:keepLines w:val="1"/>
        <w:keepNext w:val="1"/>
        <w:widowControl w:val="1"/>
      </w:pPr>
      <w:r>
        <w:t>Coordinación del proyecto: responsable de riesgos, ciberseguridad o continuidad que lidera la iniciativa.</w:t>
      </w:r>
    </w:p>
    <w:p>
      <w:pPr>
        <w:pStyle w:val="ListBullet"/>
        <w:keepLines w:val="1"/>
        <w:keepNext w:val="1"/>
        <w:widowControl w:val="1"/>
      </w:pPr>
      <w:r>
        <w:t>Equipo técnico: especialistas de ciberseguridad, TI, BCM, riesgos, cumplimiento.</w:t>
      </w:r>
    </w:p>
    <w:p>
      <w:pPr>
        <w:pStyle w:val="ListBullet"/>
        <w:keepLines w:val="1"/>
        <w:widowControl w:val="1"/>
      </w:pPr>
      <w:r>
        <w:t>Soporte de datos / analítica: persona que se encarga de la plantilla Excel y cuadros de mando.</w:t>
      </w:r>
    </w:p>
    <w:p>
      <w:pPr>
        <w:pStyle w:val="Heading2"/>
        <w:keepNext/>
        <w:keepLines/>
      </w:pPr>
      <w:r>
        <w:rPr>
          <w:color w:val="0066CC"/>
        </w:rPr>
        <w:t>4. Versionado y mantenimiento</w:t>
      </w:r>
    </w:p>
    <w:p>
      <w:r>
        <w:t xml:space="preserve">Este kit está pensado para </w:t>
      </w:r>
      <w:r>
        <w:rPr>
          <w:b/>
        </w:rPr>
        <w:t>evolucionar en el tiempo</w:t>
      </w:r>
      <w:r>
        <w:t>.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>Mantener un control de versiones (por ejemplo, usar un repositorio Git interno o numerar versiones en los ficheros).</w:t>
      </w:r>
    </w:p>
    <w:p>
      <w:pPr>
        <w:pStyle w:val="ListBullet"/>
        <w:keepLines w:val="1"/>
        <w:keepNext w:val="1"/>
        <w:widowControl w:val="1"/>
      </w:pPr>
      <w:r>
        <w:t>Actualizar:</w:t>
      </w:r>
    </w:p>
    <w:p>
      <w:pPr>
        <w:pStyle w:val="ListBullet"/>
        <w:keepLines w:val="1"/>
        <w:keepNext w:val="1"/>
        <w:widowControl w:val="1"/>
      </w:pPr>
      <w:r>
        <w:t>Preguntas de la encuesta cuando cambien las prioridades o el contexto tecnológico.</w:t>
      </w:r>
    </w:p>
    <w:p>
      <w:pPr>
        <w:pStyle w:val="ListBullet"/>
        <w:keepLines w:val="1"/>
        <w:keepNext w:val="1"/>
        <w:widowControl w:val="1"/>
      </w:pPr>
      <w:r>
        <w:t>El mapeo normativo (mapeo-normas.md) cuando se actualicen ENS, NIS2, DORA o las normas ISO.</w:t>
      </w:r>
    </w:p>
    <w:p>
      <w:pPr>
        <w:pStyle w:val="ListBullet"/>
        <w:keepLines w:val="1"/>
        <w:widowControl w:val="1"/>
      </w:pPr>
      <w:r>
        <w:t>La plantilla Excel cuando se incorporen nuevos indicadores o fórmulas de ROI.</w:t>
      </w:r>
    </w:p>
    <w:p>
      <w:pPr>
        <w:pStyle w:val="Heading2"/>
        <w:keepNext/>
        <w:keepLines/>
      </w:pPr>
      <w:r>
        <w:rPr>
          <w:color w:val="0066CC"/>
        </w:rPr>
        <w:t>5. Buenas prácticas de uso</w:t>
      </w:r>
    </w:p>
    <w:p>
      <w:pPr>
        <w:pStyle w:val="ListBullet"/>
        <w:keepLines w:val="1"/>
        <w:keepNext w:val="1"/>
        <w:widowControl w:val="1"/>
      </w:pPr>
      <w:r>
        <w:t>Emplear la encuesta al menos una vez al año para medir progreso.</w:t>
      </w:r>
    </w:p>
    <w:p>
      <w:pPr>
        <w:pStyle w:val="ListBullet"/>
        <w:keepLines w:val="1"/>
        <w:keepNext w:val="1"/>
        <w:widowControl w:val="1"/>
      </w:pPr>
      <w:r>
        <w:t>Compartir resultados de forma transparente pero constructiva: mostrar también las fortalezas, no sólo las carencias.</w:t>
      </w:r>
    </w:p>
    <w:p>
      <w:pPr>
        <w:pStyle w:val="ListBullet"/>
        <w:keepLines w:val="1"/>
        <w:keepNext w:val="1"/>
        <w:widowControl w:val="1"/>
      </w:pPr>
      <w:r>
        <w:t>Evitar usar los resultados como arma arrojadiza entre áreas; la idea es hablar de procesos, no de culpables.</w:t>
      </w:r>
    </w:p>
    <w:p>
      <w:pPr>
        <w:pStyle w:val="ListBullet"/>
        <w:keepLines w:val="1"/>
        <w:keepNext w:val="1"/>
        <w:widowControl w:val="1"/>
      </w:pPr>
      <w:r>
        <w:t>Combinar el diagnóstico con otras fuentes de información:</w:t>
      </w:r>
    </w:p>
    <w:p>
      <w:pPr>
        <w:pStyle w:val="ListBullet"/>
        <w:keepLines w:val="1"/>
        <w:keepNext w:val="1"/>
        <w:widowControl w:val="1"/>
      </w:pPr>
      <w:r>
        <w:t>Resultados de auditorías.</w:t>
      </w:r>
    </w:p>
    <w:p>
      <w:pPr>
        <w:pStyle w:val="ListBullet"/>
        <w:keepLines w:val="1"/>
        <w:keepNext w:val="1"/>
        <w:widowControl w:val="1"/>
      </w:pPr>
      <w:r>
        <w:t>Incidentes reales.</w:t>
      </w:r>
    </w:p>
    <w:p>
      <w:pPr>
        <w:pStyle w:val="ListBullet"/>
        <w:keepLines w:val="1"/>
        <w:widowControl w:val="1"/>
      </w:pPr>
      <w:r>
        <w:t>Evaluaciones de riesgos y pruebas técnicas.</w:t>
      </w:r>
    </w:p>
    <w:p>
      <w:pPr>
        <w:pStyle w:val="Heading2"/>
        <w:keepNext/>
        <w:keepLines/>
      </w:pPr>
      <w:r>
        <w:rPr>
          <w:color w:val="0066CC"/>
        </w:rPr>
        <w:t>6. Preguntas frecuentes sobre el kit</w:t>
      </w:r>
    </w:p>
    <w:p>
      <w:r>
        <w:rPr>
          <w:b/>
        </w:rPr>
        <w:t>¿Podemos añadir o quitar preguntas?</w:t>
      </w:r>
      <w:r/>
      <w:r>
        <w:br/>
        <w:t xml:space="preserve">Sí. La encuesta es una base sólida, no un dogma. Sólo se recomienda mantener los </w:t>
      </w:r>
      <w:r>
        <w:rPr>
          <w:b/>
        </w:rPr>
        <w:t>códigos de identificación</w:t>
      </w:r>
      <w:r>
        <w:t xml:space="preserve"> para conservar compatibilidad con el mapeo y la plantilla de datos.</w:t>
      </w:r>
    </w:p>
    <w:p>
      <w:r>
        <w:rPr>
          <w:b/>
        </w:rPr>
        <w:t>¿Este kit sustituye a una auditoría formal?</w:t>
      </w:r>
      <w:r/>
      <w:r>
        <w:br/>
        <w:t xml:space="preserve">No. Es un </w:t>
      </w:r>
      <w:r>
        <w:rPr>
          <w:b/>
        </w:rPr>
        <w:t>instrumento de autoevaluación estructurada</w:t>
      </w:r>
      <w:r>
        <w:t xml:space="preserve"> y de apoyo a auditorías, no un sustituto de éstas.</w:t>
      </w:r>
    </w:p>
    <w:p>
      <w:r>
        <w:rPr>
          <w:b/>
        </w:rPr>
        <w:t>¿Se puede usar entre varias organizaciones (por ejemplo, a nivel nacional o sectorial)?</w:t>
      </w:r>
      <w:r/>
      <w:r>
        <w:br/>
        <w:t>Sí. De hecho, está diseñado para poder comparar resultados entre organizaciones de forma agregada, siempre que se respeten los códigos de pregunta y el modelo de datos.</w:t>
      </w:r>
    </w:p>
    <w:p>
      <w:r>
        <w:rPr>
          <w:b/>
        </w:rPr>
        <w:t>¿Qué pasa si no queremos calcular ROI de forma cuantitativa?</w:t>
      </w:r>
      <w:r/>
      <w:r>
        <w:br/>
        <w:t>Nada grave. Las secciones relacionadas con ROI pueden usarse de forma cualitativa, pero animamos a intentarlo; incluso estimaciones gruesas ayudan a argumentar inversiones.</w:t>
      </w:r>
    </w:p>
    <w:p>
      <w:pPr>
        <w:pStyle w:val="Heading2"/>
        <w:keepNext/>
        <w:keepLines/>
      </w:pPr>
      <w:r>
        <w:rPr>
          <w:color w:val="0066CC"/>
        </w:rPr>
        <w:t>7. Cierre</w:t>
      </w:r>
    </w:p>
    <w:p>
      <w:r>
        <w:t xml:space="preserve">Si has llegado hasta aquí, enhorabuena: ya dominas la teoría. Ahora viene la parte interesante: </w:t>
      </w:r>
      <w:r>
        <w:rPr>
          <w:b/>
        </w:rPr>
        <w:t>poner en marcha el kit, recoger datos y conversar sobre lo que revelan</w:t>
      </w:r>
      <w:r>
        <w:t>.</w:t>
      </w:r>
    </w:p>
    <w:p>
      <w:r>
        <w:t>La ciber‑resiliencia no es una foto fija, sino una película. Este kit aspira a ser, al menos, una buena cámara y un guion decente. El final feliz dependerá de lo que hagáis con lo que descubráis.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