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para la encuesta de ciberseguridad, continuidad de negocio y ciber‑resiliencia</w:t>
      </w:r>
    </w:p>
    <w:p>
      <w:r>
        <w:t xml:space="preserve">Esta guía explica </w:t>
      </w:r>
      <w:r>
        <w:rPr>
          <w:b/>
        </w:rPr>
        <w:t>cómo aplicar, puntuar e interpretar</w:t>
      </w:r>
      <w:r>
        <w:t xml:space="preserve"> la encuesta propuesta en </w:t>
      </w:r>
      <w:r>
        <w:rPr>
          <w:rFonts w:ascii="Courier New" w:hAnsi="Courier New"/>
          <w:sz w:val="18"/>
        </w:rPr>
        <w:t>encuesta-modelo.md</w:t>
      </w:r>
      <w:r>
        <w:t>, así como su conexión con el cálculo de índices de madurez (IMD) e Índice Global de Madurez (IGM).</w:t>
      </w:r>
    </w:p>
    <w:p>
      <w:pPr>
        <w:pStyle w:val="Heading2"/>
        <w:keepNext/>
        <w:keepLines/>
      </w:pPr>
      <w:r>
        <w:rPr>
          <w:color w:val="0066CC"/>
        </w:rPr>
        <w:t>1. Objetivos de la encuesta</w:t>
      </w:r>
    </w:p>
    <w:p>
      <w:r>
        <w:t>La encuesta persigue tres objetivos principales:</w:t>
      </w:r>
    </w:p>
    <w:p>
      <w:pPr>
        <w:pStyle w:val="ListNumber"/>
        <w:keepLines w:val="1"/>
        <w:keepNext w:val="1"/>
        <w:widowControl w:val="1"/>
      </w:pPr>
      <w:r>
        <w:t>Medir de forma estructurada el nivel de madurez de la organización en:</w:t>
      </w:r>
    </w:p>
    <w:p>
      <w:pPr>
        <w:pStyle w:val="ListNumber"/>
        <w:keepLines w:val="1"/>
        <w:keepNext w:val="1"/>
        <w:widowControl w:val="1"/>
      </w:pPr>
      <w:r>
        <w:t>Gobierno y estrategia de ciberseguridad/BCM.</w:t>
      </w:r>
    </w:p>
    <w:p>
      <w:pPr>
        <w:pStyle w:val="ListNumber"/>
        <w:keepLines w:val="1"/>
        <w:keepNext w:val="1"/>
        <w:widowControl w:val="1"/>
      </w:pPr>
      <w:r>
        <w:t>Gestión de riesgos, vulnerabilidades y pruebas técnicas (pentesting).</w:t>
      </w:r>
    </w:p>
    <w:p>
      <w:pPr>
        <w:pStyle w:val="ListNumber"/>
        <w:keepLines w:val="1"/>
        <w:keepNext w:val="1"/>
        <w:widowControl w:val="1"/>
      </w:pPr>
      <w:r>
        <w:t>Monitorización y respuesta (SIEM, gestión de incidentes).</w:t>
      </w:r>
    </w:p>
    <w:p>
      <w:pPr>
        <w:pStyle w:val="ListNumber"/>
        <w:keepLines w:val="1"/>
        <w:keepNext w:val="1"/>
        <w:widowControl w:val="1"/>
      </w:pPr>
      <w:r>
        <w:t>Continuidad de negocio y recuperación (BCM/DRP).</w:t>
      </w:r>
    </w:p>
    <w:p>
      <w:pPr>
        <w:pStyle w:val="ListNumber"/>
        <w:keepLines w:val="1"/>
        <w:keepNext w:val="1"/>
        <w:widowControl w:val="1"/>
      </w:pPr>
      <w:r>
        <w:t>Capacitación, cultura y métricas.</w:t>
      </w:r>
    </w:p>
    <w:p>
      <w:pPr>
        <w:pStyle w:val="ListNumber"/>
        <w:keepLines w:val="1"/>
        <w:keepNext w:val="1"/>
        <w:widowControl w:val="1"/>
      </w:pPr>
      <w:r>
        <w:br/>
        <w:t>Proveedores y ecosistema.</w:t>
        <w:br/>
      </w:r>
    </w:p>
    <w:p>
      <w:pPr>
        <w:pStyle w:val="ListNumber"/>
        <w:keepLines w:val="1"/>
        <w:keepNext w:val="1"/>
        <w:widowControl w:val="1"/>
      </w:pPr>
      <w:r>
        <w:br/>
        <w:t>Identificar brechas frente a marcos normativos y de buenas prácticas (ENS, NIS2, DORA, ISO 27001, ISO 22301…).</w:t>
        <w:br/>
      </w:r>
    </w:p>
    <w:p>
      <w:pPr>
        <w:pStyle w:val="ListNumber"/>
        <w:keepLines w:val="1"/>
        <w:keepNext w:val="1"/>
        <w:widowControl w:val="1"/>
      </w:pPr>
      <w:r>
        <w:br/>
        <w:t>Proporcionar una base cuantitativa y cualitativa para:</w:t>
        <w:br/>
      </w:r>
    </w:p>
    <w:p>
      <w:pPr>
        <w:pStyle w:val="ListNumber"/>
        <w:keepLines w:val="1"/>
        <w:keepNext w:val="1"/>
        <w:widowControl w:val="1"/>
      </w:pPr>
      <w:r>
        <w:t>Priorizar iniciativas de mejora.</w:t>
      </w:r>
    </w:p>
    <w:p>
      <w:pPr>
        <w:pStyle w:val="ListNumber"/>
        <w:keepLines w:val="1"/>
        <w:keepNext w:val="1"/>
        <w:widowControl w:val="1"/>
      </w:pPr>
      <w:r>
        <w:t>Argumentar necesidades de inversión.</w:t>
      </w:r>
    </w:p>
    <w:p>
      <w:pPr>
        <w:pStyle w:val="ListNumber"/>
        <w:keepLines w:val="1"/>
        <w:widowControl w:val="1"/>
      </w:pPr>
      <w:r>
        <w:t>Realizar seguimiento en el tiempo.</w:t>
      </w:r>
    </w:p>
    <w:p>
      <w:r>
        <w:t>Proveedores y ecosistema.</w:t>
      </w:r>
    </w:p>
    <w:p>
      <w:r>
        <w:t xml:space="preserve">Identificar </w:t>
      </w:r>
      <w:r>
        <w:rPr>
          <w:b/>
        </w:rPr>
        <w:t>brechas frente a marcos normativos y de buenas prácticas</w:t>
      </w:r>
      <w:r>
        <w:t xml:space="preserve"> (ENS, NIS2, DORA, ISO 27001, ISO 22301…).</w:t>
      </w:r>
    </w:p>
    <w:p>
      <w:r>
        <w:t>Proporcionar una base cuantitativa y cualitativa para:</w:t>
      </w:r>
    </w:p>
    <w:p>
      <w:pPr>
        <w:pStyle w:val="Heading2"/>
        <w:keepNext/>
        <w:keepLines/>
      </w:pPr>
      <w:r>
        <w:rPr>
          <w:color w:val="0066CC"/>
        </w:rPr>
        <w:t>2. Alcance y unidad de análisis</w:t>
      </w:r>
    </w:p>
    <w:p>
      <w:pPr>
        <w:pStyle w:val="Heading3"/>
        <w:keepNext/>
        <w:keepLines/>
      </w:pPr>
      <w:r>
        <w:t>2.1. ¿A quién se aplica?</w:t>
      </w:r>
    </w:p>
    <w:p>
      <w:r>
        <w:t>La unidad de análisis puede ser:</w:t>
      </w:r>
    </w:p>
    <w:p>
      <w:pPr>
        <w:pStyle w:val="ListBullet"/>
        <w:keepLines w:val="1"/>
        <w:keepNext w:val="1"/>
        <w:widowControl w:val="1"/>
      </w:pPr>
      <w:r>
        <w:t>Una organización completa.</w:t>
      </w:r>
    </w:p>
    <w:p>
      <w:pPr>
        <w:pStyle w:val="ListBullet"/>
        <w:keepLines w:val="1"/>
        <w:keepNext w:val="1"/>
        <w:widowControl w:val="1"/>
      </w:pPr>
      <w:r>
        <w:t>Una unidad de negocio o área (por ejemplo, un hospital, una consejería, una línea de negocio).</w:t>
      </w:r>
    </w:p>
    <w:p>
      <w:pPr>
        <w:pStyle w:val="ListBullet"/>
        <w:keepLines w:val="1"/>
        <w:widowControl w:val="1"/>
      </w:pPr>
      <w:r>
        <w:t>Un conjunto de organizaciones (diagnóstico sectorial o territorial).</w:t>
      </w:r>
    </w:p>
    <w:p>
      <w:r>
        <w:t xml:space="preserve">Es importante definir el alcance antes de comenzar y reflejarlo de forma clara en la documentación y en los metadatos (por ejemplo, en </w:t>
      </w:r>
      <w:r>
        <w:rPr>
          <w:rFonts w:ascii="Courier New" w:hAnsi="Courier New"/>
          <w:sz w:val="18"/>
        </w:rPr>
        <w:t>Datos_Respuestas</w:t>
      </w:r>
      <w:r>
        <w:t>).</w:t>
      </w:r>
    </w:p>
    <w:p>
      <w:pPr>
        <w:pStyle w:val="Heading3"/>
        <w:keepNext/>
        <w:keepLines/>
      </w:pPr>
      <w:r>
        <w:t>2.2. ¿Quién responde?</w:t>
      </w:r>
    </w:p>
    <w:p>
      <w:r>
        <w:t xml:space="preserve">Idealmente, la encuesta la responden </w:t>
      </w:r>
      <w:r>
        <w:rPr>
          <w:b/>
        </w:rPr>
        <w:t>equipos multidisciplinares</w:t>
      </w:r>
      <w:r>
        <w:t xml:space="preserve"> formados por:</w:t>
      </w:r>
    </w:p>
    <w:p>
      <w:pPr>
        <w:pStyle w:val="ListBullet"/>
        <w:keepLines w:val="1"/>
        <w:keepNext w:val="1"/>
        <w:widowControl w:val="1"/>
      </w:pPr>
      <w:r>
        <w:t>Responsables de ciberseguridad y TI.</w:t>
      </w:r>
    </w:p>
    <w:p>
      <w:pPr>
        <w:pStyle w:val="ListBullet"/>
        <w:keepLines w:val="1"/>
        <w:keepNext w:val="1"/>
        <w:widowControl w:val="1"/>
      </w:pPr>
      <w:r>
        <w:t>Responsables de continuidad de negocio, riesgos y cumplimiento.</w:t>
      </w:r>
    </w:p>
    <w:p>
      <w:pPr>
        <w:pStyle w:val="ListBullet"/>
        <w:keepLines w:val="1"/>
        <w:widowControl w:val="1"/>
      </w:pPr>
      <w:r>
        <w:t>Representantes del negocio/operación.</w:t>
      </w:r>
    </w:p>
    <w:p>
      <w:r>
        <w:t xml:space="preserve">Se recomienda que la respuesta </w:t>
      </w:r>
      <w:r>
        <w:rPr>
          <w:b/>
        </w:rPr>
        <w:t>no sea individual</w:t>
      </w:r>
      <w:r>
        <w:t xml:space="preserve">, sino fruto de un </w:t>
      </w:r>
      <w:r>
        <w:rPr>
          <w:b/>
        </w:rPr>
        <w:t>consenso razonado</w:t>
      </w:r>
      <w:r>
        <w:t xml:space="preserve"> entre quienes conocen el funcionamiento real de los procesos.</w:t>
      </w:r>
    </w:p>
    <w:p>
      <w:pPr>
        <w:pStyle w:val="Heading2"/>
        <w:keepNext/>
        <w:keepLines/>
      </w:pPr>
      <w:r>
        <w:rPr>
          <w:color w:val="0066CC"/>
        </w:rPr>
        <w:t>3. Escalas de respuesta y codificación</w:t>
      </w:r>
    </w:p>
    <w:p>
      <w:pPr>
        <w:pStyle w:val="Heading3"/>
        <w:keepNext/>
        <w:keepLines/>
      </w:pPr>
      <w:r>
        <w:t>3.1. Escala principal de madurez (Likert 4 niveles)</w:t>
      </w:r>
    </w:p>
    <w:p>
      <w:r>
        <w:t>La mayoría de las preguntas utilizan una escala de 4 opciones (a–d) que se codifica numéricamente de la siguiente forma:</w:t>
      </w:r>
    </w:p>
    <w:p>
      <w:pPr>
        <w:pStyle w:val="ListBullet"/>
        <w:keepLines w:val="1"/>
        <w:keepNext w:val="1"/>
        <w:widowControl w:val="1"/>
      </w:pPr>
      <w:r>
        <w:t>a) Situación muy incipiente → 0</w:t>
      </w:r>
    </w:p>
    <w:p>
      <w:pPr>
        <w:pStyle w:val="ListBullet"/>
        <w:keepLines w:val="1"/>
        <w:keepNext w:val="1"/>
        <w:widowControl w:val="1"/>
      </w:pPr>
      <w:r>
        <w:t>b) Situación básica → 1</w:t>
      </w:r>
    </w:p>
    <w:p>
      <w:pPr>
        <w:pStyle w:val="ListBullet"/>
        <w:keepLines w:val="1"/>
        <w:keepNext w:val="1"/>
        <w:widowControl w:val="1"/>
      </w:pPr>
      <w:r>
        <w:t>c) Situación intermedia → 2</w:t>
      </w:r>
    </w:p>
    <w:p>
      <w:pPr>
        <w:pStyle w:val="ListBullet"/>
        <w:keepLines w:val="1"/>
        <w:widowControl w:val="1"/>
      </w:pPr>
      <w:r>
        <w:t>d) Situación avanzada/madura → 3</w:t>
      </w:r>
    </w:p>
    <w:p>
      <w:r>
        <w:t>Este esquema evita el «punto medio cómodo» y fomenta tomar partido.</w:t>
      </w:r>
    </w:p>
    <w:p>
      <w:pPr>
        <w:pStyle w:val="Heading3"/>
        <w:keepNext/>
        <w:keepLines/>
      </w:pPr>
      <w:r>
        <w:t>3.2. Preguntas de perfil</w:t>
      </w:r>
    </w:p>
    <w:p>
      <w:r>
        <w:t>Las preguntas de perfil (ORG‑01 a ORG‑05) no generan directamente puntuaciones de madurez, pero sí permiten:</w:t>
      </w:r>
    </w:p>
    <w:p>
      <w:pPr>
        <w:pStyle w:val="ListBullet"/>
        <w:keepLines w:val="1"/>
        <w:keepNext w:val="1"/>
        <w:widowControl w:val="1"/>
      </w:pPr>
      <w:r>
        <w:t>Segmentar resultados por tipo de organización, tamaño, sector…</w:t>
      </w:r>
    </w:p>
    <w:p>
      <w:pPr>
        <w:pStyle w:val="ListBullet"/>
        <w:keepLines w:val="1"/>
        <w:widowControl w:val="1"/>
      </w:pPr>
      <w:r>
        <w:t>Contextualizar el IGM y los IMD.</w:t>
      </w:r>
    </w:p>
    <w:p>
      <w:pPr>
        <w:pStyle w:val="Heading3"/>
        <w:keepNext/>
        <w:keepLines/>
      </w:pPr>
      <w:r>
        <w:t>3.3. Comentarios cualitativos</w:t>
      </w:r>
    </w:p>
    <w:p>
      <w:r>
        <w:t xml:space="preserve">Se recomienda añadir, en la herramienta que se utilice (formulario online o plantilla), campos de </w:t>
      </w:r>
      <w:r>
        <w:rPr>
          <w:b/>
        </w:rPr>
        <w:t>comentarios libres</w:t>
      </w:r>
      <w:r>
        <w:t xml:space="preserve"> por bloque. Estos no se codifican numéricamente, pero son esenciales para interpretar matices y particularidades.</w:t>
      </w:r>
    </w:p>
    <w:p>
      <w:pPr>
        <w:pStyle w:val="Heading2"/>
        <w:keepNext/>
        <w:keepLines/>
      </w:pPr>
      <w:r>
        <w:rPr>
          <w:color w:val="0066CC"/>
        </w:rPr>
        <w:t>4. Dominios y códigos de preguntas</w:t>
      </w:r>
    </w:p>
    <w:p>
      <w:r>
        <w:t>Los códigos de pregunta siguen una estructura que facilita el análisis posterior:</w:t>
      </w:r>
    </w:p>
    <w:p>
      <w:pPr>
        <w:pStyle w:val="ListBullet"/>
        <w:keepLines w:val="1"/>
        <w:keepNext w:val="1"/>
        <w:widowControl w:val="1"/>
      </w:pPr>
      <w:r>
        <w:t>ORG‑xx: Perfil de la organización.</w:t>
      </w:r>
    </w:p>
    <w:p>
      <w:pPr>
        <w:pStyle w:val="ListBullet"/>
        <w:keepLines w:val="1"/>
        <w:keepNext w:val="1"/>
        <w:widowControl w:val="1"/>
      </w:pPr>
      <w:r>
        <w:t>GOV‑xx: Gobierno y estrategia.</w:t>
      </w:r>
    </w:p>
    <w:p>
      <w:pPr>
        <w:pStyle w:val="ListBullet"/>
        <w:keepLines w:val="1"/>
        <w:keepNext w:val="1"/>
        <w:widowControl w:val="1"/>
      </w:pPr>
      <w:r>
        <w:t>RISK‑xx: Gestión de riesgos.</w:t>
      </w:r>
    </w:p>
    <w:p>
      <w:pPr>
        <w:pStyle w:val="ListBullet"/>
        <w:keepLines w:val="1"/>
        <w:keepNext w:val="1"/>
        <w:widowControl w:val="1"/>
      </w:pPr>
      <w:r>
        <w:t>VULN‑xx: Gestión de vulnerabilidades.</w:t>
      </w:r>
    </w:p>
    <w:p>
      <w:pPr>
        <w:pStyle w:val="ListBullet"/>
        <w:keepLines w:val="1"/>
        <w:keepNext w:val="1"/>
        <w:widowControl w:val="1"/>
      </w:pPr>
      <w:r>
        <w:t>PENT‑xx: Pruebas de penetración.</w:t>
      </w:r>
    </w:p>
    <w:p>
      <w:pPr>
        <w:pStyle w:val="ListBullet"/>
        <w:keepLines w:val="1"/>
        <w:keepNext w:val="1"/>
        <w:widowControl w:val="1"/>
      </w:pPr>
      <w:r>
        <w:t>SIEM‑xx: Monitorización y eventos de seguridad.</w:t>
      </w:r>
    </w:p>
    <w:p>
      <w:pPr>
        <w:pStyle w:val="ListBullet"/>
        <w:keepLines w:val="1"/>
        <w:keepNext w:val="1"/>
        <w:widowControl w:val="1"/>
      </w:pPr>
      <w:r>
        <w:t>BCM‑xx: Continuidad de negocio.</w:t>
      </w:r>
    </w:p>
    <w:p>
      <w:pPr>
        <w:pStyle w:val="ListBullet"/>
        <w:keepLines w:val="1"/>
        <w:keepNext w:val="1"/>
        <w:widowControl w:val="1"/>
      </w:pPr>
      <w:r>
        <w:t>DRP‑xx: Recuperación de TI.</w:t>
      </w:r>
    </w:p>
    <w:p>
      <w:pPr>
        <w:pStyle w:val="ListBullet"/>
        <w:keepLines w:val="1"/>
        <w:keepNext w:val="1"/>
        <w:widowControl w:val="1"/>
      </w:pPr>
      <w:r>
        <w:t>AWARE‑xx: Capacitación y cultura.</w:t>
      </w:r>
    </w:p>
    <w:p>
      <w:pPr>
        <w:pStyle w:val="ListBullet"/>
        <w:keepLines w:val="1"/>
        <w:keepNext w:val="1"/>
        <w:widowControl w:val="1"/>
      </w:pPr>
      <w:r>
        <w:t>MET‑xx: Métricas y KPIs.</w:t>
      </w:r>
    </w:p>
    <w:p>
      <w:pPr>
        <w:pStyle w:val="ListBullet"/>
        <w:keepLines w:val="1"/>
        <w:keepNext w:val="1"/>
        <w:widowControl w:val="1"/>
      </w:pPr>
      <w:r>
        <w:t>ROI‑xx: ROI y valor percibido.</w:t>
      </w:r>
    </w:p>
    <w:p>
      <w:pPr>
        <w:pStyle w:val="ListBullet"/>
        <w:keepLines w:val="1"/>
        <w:keepNext w:val="1"/>
        <w:widowControl w:val="1"/>
      </w:pPr>
      <w:r>
        <w:t>SUP‑xx: Proveedores y terceros.</w:t>
      </w:r>
    </w:p>
    <w:p>
      <w:pPr>
        <w:pStyle w:val="ListBullet"/>
        <w:keepLines w:val="1"/>
        <w:widowControl w:val="1"/>
      </w:pPr>
      <w:r>
        <w:t>ECO‑xx: Ecosistema y coordinación externa.</w:t>
      </w:r>
    </w:p>
    <w:p>
      <w:r>
        <w:t>Estos códigos se usan en:</w:t>
      </w:r>
    </w:p>
    <w:p>
      <w:pPr>
        <w:pStyle w:val="ListBullet"/>
        <w:keepLines w:val="1"/>
        <w:keepNext w:val="1"/>
        <w:widowControl w:val="1"/>
      </w:pPr>
      <w:r>
        <w:t>encuesta-modelo.md (texto de la encuesta).</w:t>
      </w:r>
    </w:p>
    <w:p>
      <w:pPr>
        <w:pStyle w:val="ListBullet"/>
        <w:keepLines w:val="1"/>
        <w:keepNext w:val="1"/>
        <w:widowControl w:val="1"/>
      </w:pPr>
      <w:r>
        <w:t>mapeo-normas.md (relación con marcos normativos).</w:t>
      </w:r>
    </w:p>
    <w:p>
      <w:pPr>
        <w:pStyle w:val="ListBullet"/>
        <w:keepLines w:val="1"/>
        <w:widowControl w:val="1"/>
      </w:pPr>
      <w:r>
        <w:t>plantilla-igm-roi.md (diccionario de preguntas y cálculo de índices).</w:t>
      </w:r>
    </w:p>
    <w:p>
      <w:pPr>
        <w:pStyle w:val="Heading2"/>
        <w:keepNext/>
        <w:keepLines/>
      </w:pPr>
      <w:r>
        <w:rPr>
          <w:color w:val="0066CC"/>
        </w:rPr>
        <w:t>5. Proceso de aplicación</w:t>
      </w:r>
    </w:p>
    <w:p>
      <w:pPr>
        <w:pStyle w:val="Heading3"/>
        <w:keepNext/>
        <w:keepLines/>
      </w:pPr>
      <w:r>
        <w:t>5.1. Fases</w:t>
      </w:r>
    </w:p>
    <w:p>
      <w:pPr>
        <w:pStyle w:val="ListNumber"/>
        <w:keepLines w:val="1"/>
        <w:keepNext w:val="1"/>
        <w:widowControl w:val="1"/>
      </w:pPr>
      <w:r>
        <w:t>Preparación</w:t>
      </w:r>
    </w:p>
    <w:p>
      <w:pPr>
        <w:pStyle w:val="ListNumber"/>
        <w:keepLines w:val="1"/>
        <w:keepNext w:val="1"/>
        <w:widowControl w:val="1"/>
      </w:pPr>
      <w:r>
        <w:t>Definir alcance, lista de organizaciones/unidades y cronograma.</w:t>
      </w:r>
    </w:p>
    <w:p>
      <w:pPr>
        <w:pStyle w:val="ListNumber"/>
        <w:keepLines w:val="1"/>
        <w:keepNext w:val="1"/>
        <w:widowControl w:val="1"/>
      </w:pPr>
      <w:r>
        <w:t>Seleccionar participantes clave por organización.</w:t>
      </w:r>
    </w:p>
    <w:p>
      <w:pPr>
        <w:pStyle w:val="ListNumber"/>
        <w:keepLines w:val="1"/>
        <w:keepNext w:val="1"/>
        <w:widowControl w:val="1"/>
      </w:pPr>
      <w:r>
        <w:br/>
        <w:t>Ajustar, si es necesario, el texto de algunas preguntas para adaptarlas al contexto.</w:t>
        <w:br/>
      </w:r>
    </w:p>
    <w:p>
      <w:pPr>
        <w:pStyle w:val="ListNumber"/>
        <w:keepLines w:val="1"/>
        <w:keepNext w:val="1"/>
        <w:widowControl w:val="1"/>
      </w:pPr>
      <w:r>
        <w:br/>
        <w:t>Comunicación</w:t>
        <w:br/>
      </w:r>
    </w:p>
    <w:p>
      <w:pPr>
        <w:pStyle w:val="ListNumber"/>
        <w:keepLines w:val="1"/>
        <w:keepNext w:val="1"/>
        <w:widowControl w:val="1"/>
      </w:pPr>
      <w:r>
        <w:br/>
        <w:t>Usar la narrativa de narrativa-exp.md para:</w:t>
        <w:br/>
        <w:br/>
        <w:t>Informar a la alta dirección y solicitar patrocinio.</w:t>
        <w:br/>
        <w:t>Invitar a los equipos técnicos a participar.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Realización de sesiones de respuesta</w:t>
        <w:br/>
      </w:r>
    </w:p>
    <w:p>
      <w:pPr>
        <w:pStyle w:val="ListNumber"/>
        <w:keepLines w:val="1"/>
        <w:keepNext w:val="1"/>
        <w:widowControl w:val="1"/>
      </w:pPr>
      <w:r>
        <w:t>Modalidad recomendada:</w:t>
        <w:br/>
        <w:t>Sesiones de 60–90 minutos con los equipos clave.</w:t>
        <w:br/>
        <w:t>El facilitador lee cada pregunta, se discute brevemente y se acuerda la opción a marcar.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Alternativamente, se puede usar autoevaluación individual seguida de una sesión de consolidación.</w:t>
        <w:br/>
      </w:r>
    </w:p>
    <w:p>
      <w:pPr>
        <w:pStyle w:val="ListNumber"/>
        <w:keepLines w:val="1"/>
        <w:keepNext w:val="1"/>
        <w:widowControl w:val="1"/>
      </w:pPr>
      <w:r>
        <w:br/>
        <w:t>Consolidación y validación</w:t>
        <w:br/>
      </w:r>
    </w:p>
    <w:p>
      <w:pPr>
        <w:pStyle w:val="ListNumber"/>
        <w:keepLines w:val="1"/>
        <w:keepNext w:val="1"/>
        <w:widowControl w:val="1"/>
      </w:pPr>
      <w:r>
        <w:t>Revisar coherencia de respuestas.</w:t>
      </w:r>
    </w:p>
    <w:p>
      <w:pPr>
        <w:pStyle w:val="ListNumber"/>
        <w:keepLines w:val="1"/>
        <w:keepNext w:val="1"/>
        <w:widowControl w:val="1"/>
      </w:pPr>
      <w:r>
        <w:br/>
        <w:t>Aclarar divergencias significativas en preguntas críticas.</w:t>
        <w:br/>
      </w:r>
    </w:p>
    <w:p>
      <w:pPr>
        <w:pStyle w:val="ListNumber"/>
        <w:keepLines w:val="1"/>
        <w:keepNext w:val="1"/>
        <w:widowControl w:val="1"/>
      </w:pPr>
      <w:r>
        <w:br/>
        <w:t>Carga de datos y cálculo de índices</w:t>
        <w:br/>
      </w:r>
    </w:p>
    <w:p>
      <w:pPr>
        <w:pStyle w:val="ListNumber"/>
        <w:keepLines w:val="1"/>
        <w:keepNext w:val="1"/>
        <w:widowControl w:val="1"/>
      </w:pPr>
      <w:r>
        <w:t>Registrar respuestas en la hoja Datos_Respuestas.</w:t>
      </w:r>
    </w:p>
    <w:p>
      <w:pPr>
        <w:pStyle w:val="ListNumber"/>
        <w:keepLines w:val="1"/>
        <w:keepNext w:val="1"/>
        <w:widowControl w:val="1"/>
      </w:pPr>
      <w:r>
        <w:br/>
        <w:t>Verificar que las fórmulas de Calculos_Madurez y ROI_Costes_Beneficios funcionan.</w:t>
        <w:br/>
      </w:r>
    </w:p>
    <w:p>
      <w:pPr>
        <w:pStyle w:val="ListNumber"/>
        <w:keepLines w:val="1"/>
        <w:keepNext w:val="1"/>
        <w:widowControl w:val="1"/>
      </w:pPr>
      <w:r>
        <w:br/>
        <w:t>Análisis y preparación de informe</w:t>
        <w:br/>
      </w:r>
    </w:p>
    <w:p>
      <w:pPr>
        <w:pStyle w:val="ListNumber"/>
        <w:keepLines w:val="1"/>
        <w:keepNext w:val="1"/>
        <w:widowControl w:val="1"/>
      </w:pPr>
      <w:r>
        <w:t>Analizar IMD e IGM.</w:t>
      </w:r>
    </w:p>
    <w:p>
      <w:pPr>
        <w:pStyle w:val="ListNumber"/>
        <w:keepLines w:val="1"/>
        <w:keepNext w:val="1"/>
        <w:widowControl w:val="1"/>
      </w:pPr>
      <w:r>
        <w:t>Revisar mapeo normativo (brechas frente a ENS, NIS2, DORA, etc.).</w:t>
      </w:r>
    </w:p>
    <w:p>
      <w:pPr>
        <w:pStyle w:val="ListNumber"/>
        <w:keepLines w:val="1"/>
        <w:widowControl w:val="1"/>
      </w:pPr>
      <w:r>
        <w:t>Construir reporte ejecutivo (ppt-reporte.md).</w:t>
      </w:r>
    </w:p>
    <w:p>
      <w:r>
        <w:t>Ajustar, si es necesario, el texto de algunas preguntas para adaptarlas al contexto.</w:t>
      </w:r>
    </w:p>
    <w:p>
      <w:r>
        <w:rPr>
          <w:b/>
        </w:rPr>
        <w:t>Comunicación</w:t>
      </w:r>
    </w:p>
    <w:p>
      <w:r>
        <w:t xml:space="preserve">Usar la narrativa de </w:t>
      </w:r>
      <w:r>
        <w:rPr>
          <w:rFonts w:ascii="Courier New" w:hAnsi="Courier New"/>
          <w:sz w:val="18"/>
        </w:rPr>
        <w:t>narrativa-exp.md</w:t>
      </w:r>
      <w:r>
        <w:t xml:space="preserve"> para:</w:t>
      </w:r>
    </w:p>
    <w:p>
      <w:pPr>
        <w:pStyle w:val="ListBullet"/>
        <w:keepLines w:val="1"/>
        <w:keepNext w:val="1"/>
        <w:widowControl w:val="1"/>
      </w:pPr>
      <w:r>
        <w:t>Informar a la alta dirección y solicitar patrocinio.</w:t>
      </w:r>
    </w:p>
    <w:p>
      <w:pPr>
        <w:pStyle w:val="ListBullet"/>
        <w:keepLines w:val="1"/>
        <w:widowControl w:val="1"/>
      </w:pPr>
      <w:r>
        <w:t>Invitar a los equipos técnicos a participar.</w:t>
      </w:r>
    </w:p>
    <w:p>
      <w:r>
        <w:rPr>
          <w:b/>
        </w:rPr>
        <w:t>Realización de sesiones de respuesta</w:t>
      </w:r>
    </w:p>
    <w:p>
      <w:pPr>
        <w:pStyle w:val="ListBullet"/>
        <w:keepLines w:val="1"/>
        <w:keepNext w:val="1"/>
        <w:widowControl w:val="1"/>
      </w:pPr>
      <w:r>
        <w:t>Sesiones de 60–90 minutos con los equipos clave.</w:t>
      </w:r>
    </w:p>
    <w:p>
      <w:pPr>
        <w:pStyle w:val="ListBullet"/>
        <w:keepLines w:val="1"/>
        <w:widowControl w:val="1"/>
      </w:pPr>
      <w:r>
        <w:t>El facilitador lee cada pregunta, se discute brevemente y se acuerda la opción a marcar.</w:t>
      </w:r>
    </w:p>
    <w:p>
      <w:r>
        <w:t>Alternativamente, se puede usar autoevaluación individual seguida de una sesión de consolidación.</w:t>
      </w:r>
    </w:p>
    <w:p>
      <w:r>
        <w:rPr>
          <w:b/>
        </w:rPr>
        <w:t>Consolidación y validación</w:t>
      </w:r>
    </w:p>
    <w:p>
      <w:r>
        <w:t>Aclarar divergencias significativas en preguntas críticas.</w:t>
      </w:r>
    </w:p>
    <w:p>
      <w:r>
        <w:rPr>
          <w:b/>
        </w:rPr>
        <w:t>Carga de datos y cálculo de índices</w:t>
      </w:r>
    </w:p>
    <w:p>
      <w:r>
        <w:t xml:space="preserve">Verificar que las fórmulas de </w:t>
      </w:r>
      <w:r>
        <w:rPr>
          <w:rFonts w:ascii="Courier New" w:hAnsi="Courier New"/>
          <w:sz w:val="18"/>
        </w:rPr>
        <w:t>Calculos_Madurez</w:t>
      </w:r>
      <w:r>
        <w:t xml:space="preserve"> y </w:t>
      </w:r>
      <w:r>
        <w:rPr>
          <w:rFonts w:ascii="Courier New" w:hAnsi="Courier New"/>
          <w:sz w:val="18"/>
        </w:rPr>
        <w:t>ROI_Costes_Beneficios</w:t>
      </w:r>
      <w:r>
        <w:t xml:space="preserve"> funcionan.</w:t>
      </w:r>
    </w:p>
    <w:p>
      <w:r>
        <w:rPr>
          <w:b/>
        </w:rPr>
        <w:t>Análisis y preparación de informe</w:t>
      </w:r>
    </w:p>
    <w:p>
      <w:pPr>
        <w:pStyle w:val="Heading3"/>
        <w:keepNext/>
        <w:keepLines/>
      </w:pPr>
      <w:r>
        <w:t>5.2. Rol del facilitador</w:t>
      </w:r>
    </w:p>
    <w:p>
      <w:r>
        <w:t>Es clave contar con una persona que:</w:t>
      </w:r>
    </w:p>
    <w:p>
      <w:pPr>
        <w:pStyle w:val="ListBullet"/>
        <w:keepLines w:val="1"/>
        <w:keepNext w:val="1"/>
        <w:widowControl w:val="1"/>
      </w:pPr>
      <w:r>
        <w:t>Conozca bien la encuesta y la guía.</w:t>
      </w:r>
    </w:p>
    <w:p>
      <w:pPr>
        <w:pStyle w:val="ListBullet"/>
        <w:keepLines w:val="1"/>
        <w:keepNext w:val="1"/>
        <w:widowControl w:val="1"/>
      </w:pPr>
      <w:r>
        <w:t>Mantenga la discusión en un tono constructivo, pragmático y, si hace falta, ligeramente irónico para relajar el ambiente.</w:t>
      </w:r>
    </w:p>
    <w:p>
      <w:pPr>
        <w:pStyle w:val="ListBullet"/>
        <w:keepLines w:val="1"/>
        <w:widowControl w:val="1"/>
      </w:pPr>
      <w:r>
        <w:t>Ayude a traducir ejemplos concretos de los equipos a las opciones de respuesta disponibles.</w:t>
      </w:r>
    </w:p>
    <w:p>
      <w:pPr>
        <w:pStyle w:val="Heading2"/>
        <w:keepNext/>
        <w:keepLines/>
      </w:pPr>
      <w:r>
        <w:rPr>
          <w:color w:val="0066CC"/>
        </w:rPr>
        <w:t>6. Cálculo de índices de madurez</w:t>
      </w:r>
    </w:p>
    <w:p>
      <w:r>
        <w:t xml:space="preserve">El detalle técnico está en </w:t>
      </w:r>
      <w:r>
        <w:rPr>
          <w:rFonts w:ascii="Courier New" w:hAnsi="Courier New"/>
          <w:sz w:val="18"/>
        </w:rPr>
        <w:t>plantilla-igm-roi.md</w:t>
      </w:r>
      <w:r>
        <w:t>. Aquí se resumen los conceptos clave.</w:t>
      </w:r>
    </w:p>
    <w:p>
      <w:pPr>
        <w:pStyle w:val="Heading3"/>
        <w:keepNext/>
        <w:keepLines/>
      </w:pPr>
      <w:r>
        <w:t>6.1. Índices de Madurez por Dominio (IMD)</w:t>
      </w:r>
    </w:p>
    <w:p>
      <w:r>
        <w:t>Para cada dominio (GOV, RISK, VULN, PENT, SIEM, BCM, DRP, AWARE, MET, ROI, SUP, ECO):</w:t>
      </w:r>
    </w:p>
    <w:p>
      <w:pPr>
        <w:pStyle w:val="ListBullet"/>
        <w:keepLines w:val="1"/>
        <w:keepNext w:val="1"/>
        <w:widowControl w:val="1"/>
      </w:pPr>
      <w:r>
        <w:t>Se calcula la media (o media ponderada) de las respuestas numéricas de las preguntas de ese dominio.</w:t>
      </w:r>
    </w:p>
    <w:p>
      <w:pPr>
        <w:pStyle w:val="ListBullet"/>
        <w:keepLines w:val="1"/>
        <w:widowControl w:val="1"/>
      </w:pPr>
      <w:r>
        <w:t>El resultado se expresa en la escala 0–3 y, opcionalmente, se normaliza a 0–100.</w:t>
      </w:r>
    </w:p>
    <w:p>
      <w:r>
        <w:t>Ejemplo de interpretación (escala 0–3):</w:t>
      </w:r>
    </w:p>
    <w:p>
      <w:pPr>
        <w:pStyle w:val="ListBullet"/>
        <w:keepLines w:val="1"/>
        <w:keepNext w:val="1"/>
        <w:widowControl w:val="1"/>
      </w:pPr>
      <w:r>
        <w:t>0,0–0,9 → Nivel «incipiente».</w:t>
      </w:r>
    </w:p>
    <w:p>
      <w:pPr>
        <w:pStyle w:val="ListBullet"/>
        <w:keepLines w:val="1"/>
        <w:keepNext w:val="1"/>
        <w:widowControl w:val="1"/>
      </w:pPr>
      <w:r>
        <w:t>1,0–1,9 → Nivel «básico».</w:t>
      </w:r>
    </w:p>
    <w:p>
      <w:pPr>
        <w:pStyle w:val="ListBullet"/>
        <w:keepLines w:val="1"/>
        <w:keepNext w:val="1"/>
        <w:widowControl w:val="1"/>
      </w:pPr>
      <w:r>
        <w:t>2,0–2,5 → Nivel «intermedio».</w:t>
      </w:r>
    </w:p>
    <w:p>
      <w:pPr>
        <w:pStyle w:val="ListBullet"/>
        <w:keepLines w:val="1"/>
        <w:widowControl w:val="1"/>
      </w:pPr>
      <w:r>
        <w:t>2,6–3,0 → Nivel «avanzado».</w:t>
      </w:r>
    </w:p>
    <w:p>
      <w:r>
        <w:t>Los umbrales pueden adaptarse según el apetito de exigencia de la organización.</w:t>
      </w:r>
    </w:p>
    <w:p>
      <w:pPr>
        <w:pStyle w:val="Heading3"/>
        <w:keepNext/>
        <w:keepLines/>
      </w:pPr>
      <w:r>
        <w:t>6.2. Índice Global de Madurez (IGM)</w:t>
      </w:r>
    </w:p>
    <w:p>
      <w:pPr>
        <w:pStyle w:val="ListBullet"/>
        <w:keepLines w:val="1"/>
        <w:keepNext w:val="1"/>
        <w:widowControl w:val="1"/>
      </w:pPr>
      <w:r>
        <w:t>Puede construirse como media simple de los IMD.</w:t>
      </w:r>
    </w:p>
    <w:p>
      <w:pPr>
        <w:pStyle w:val="ListBullet"/>
        <w:keepLines w:val="1"/>
        <w:widowControl w:val="1"/>
      </w:pPr>
      <w:r>
        <w:t>O como media ponderada (por ejemplo, dando más peso a dominios críticos como BCM, SIEM o RISK).</w:t>
      </w:r>
    </w:p>
    <w:p>
      <w:r>
        <w:t>La interpretación es análoga a la de los IMD, pero a nivel global.</w:t>
      </w:r>
    </w:p>
    <w:p>
      <w:pPr>
        <w:pStyle w:val="Heading2"/>
        <w:keepNext/>
        <w:keepLines/>
      </w:pPr>
      <w:r>
        <w:rPr>
          <w:color w:val="0066CC"/>
        </w:rPr>
        <w:t>7. Uso del mapeo normativo</w:t>
      </w:r>
    </w:p>
    <w:p>
      <w:r>
        <w:t xml:space="preserve">El archivo </w:t>
      </w:r>
      <w:r>
        <w:rPr>
          <w:rFonts w:ascii="Courier New" w:hAnsi="Courier New"/>
          <w:sz w:val="18"/>
        </w:rPr>
        <w:t>mapeo-normas.md</w:t>
      </w:r>
      <w:r>
        <w:t xml:space="preserve"> permite relacionar:</w:t>
      </w:r>
    </w:p>
    <w:p>
      <w:pPr>
        <w:pStyle w:val="ListBullet"/>
        <w:keepLines w:val="1"/>
        <w:keepNext w:val="1"/>
        <w:widowControl w:val="1"/>
      </w:pPr>
      <w:r>
        <w:t>Cada pregunta con uno o varios marcos normativos.</w:t>
      </w:r>
    </w:p>
    <w:p>
      <w:pPr>
        <w:pStyle w:val="ListBullet"/>
        <w:keepLines w:val="1"/>
        <w:widowControl w:val="1"/>
      </w:pPr>
      <w:r>
        <w:t>El tipo de requisito (obligatorio o recomendado).</w:t>
      </w:r>
    </w:p>
    <w:p>
      <w:r>
        <w:t>Recomendaciones de uso:</w:t>
      </w:r>
    </w:p>
    <w:p>
      <w:pPr>
        <w:pStyle w:val="ListBullet"/>
        <w:keepLines w:val="1"/>
        <w:keepNext w:val="1"/>
        <w:widowControl w:val="1"/>
      </w:pPr>
      <w:r>
        <w:t>Para preguntas con bajas puntuaciones y mapeo a requisitos obligatorios:</w:t>
      </w:r>
    </w:p>
    <w:p>
      <w:pPr>
        <w:pStyle w:val="ListBullet"/>
        <w:keepLines w:val="1"/>
        <w:keepNext w:val="1"/>
        <w:widowControl w:val="1"/>
      </w:pPr>
      <w:r>
        <w:t>Priorizar acciones para evitar brechas de cumplimiento.</w:t>
      </w:r>
    </w:p>
    <w:p>
      <w:pPr>
        <w:pStyle w:val="ListBullet"/>
        <w:keepLines w:val="1"/>
        <w:keepNext w:val="1"/>
        <w:widowControl w:val="1"/>
      </w:pPr>
      <w:r>
        <w:t>Para preguntas con bajas puntuaciones pero mapeo a buenas prácticas:</w:t>
      </w:r>
    </w:p>
    <w:p>
      <w:pPr>
        <w:pStyle w:val="ListBullet"/>
        <w:keepLines w:val="1"/>
        <w:widowControl w:val="1"/>
      </w:pPr>
      <w:r>
        <w:t>Evaluar la relación coste‑beneficio de mejorar, especialmente si el impacto en resiliencia es alto.</w:t>
      </w:r>
    </w:p>
    <w:p>
      <w:r>
        <w:t xml:space="preserve">Esto ayuda a traducir los resultados de la encuesta al lenguaje de </w:t>
      </w:r>
      <w:r>
        <w:rPr>
          <w:b/>
        </w:rPr>
        <w:t>riesgo regulatorio</w:t>
      </w:r>
      <w:r>
        <w:t xml:space="preserve"> además del riesgo operativo.</w:t>
      </w:r>
    </w:p>
    <w:p>
      <w:pPr>
        <w:pStyle w:val="Heading2"/>
        <w:keepNext/>
        <w:keepLines/>
      </w:pPr>
      <w:r>
        <w:rPr>
          <w:color w:val="0066CC"/>
        </w:rPr>
        <w:t>8. Interpretación cualitativa y storytelling</w:t>
      </w:r>
    </w:p>
    <w:p>
      <w:r>
        <w:t>Los números son necesarios, pero insuficientes. Se recomienda:</w:t>
      </w:r>
    </w:p>
    <w:p>
      <w:pPr>
        <w:pStyle w:val="ListBullet"/>
        <w:keepLines w:val="1"/>
        <w:keepNext w:val="1"/>
        <w:widowControl w:val="1"/>
      </w:pPr>
      <w:r>
        <w:t>Revisar conjuntamente IMD e IGM junto con comentarios cualitativos recogidos durante las sesiones.</w:t>
      </w:r>
    </w:p>
    <w:p>
      <w:pPr>
        <w:pStyle w:val="ListBullet"/>
        <w:keepLines w:val="1"/>
        <w:keepNext w:val="1"/>
        <w:widowControl w:val="1"/>
      </w:pPr>
      <w:r>
        <w:t>Identificar «patrones narrativos»:</w:t>
      </w:r>
    </w:p>
    <w:p>
      <w:pPr>
        <w:pStyle w:val="ListBullet"/>
        <w:keepLines w:val="1"/>
        <w:keepNext w:val="1"/>
        <w:widowControl w:val="1"/>
      </w:pPr>
      <w:r>
        <w:t>Por ejemplo: buena tecnología (SIEM, pentesting) pero débil gobernanza o cultura.</w:t>
      </w:r>
    </w:p>
    <w:p>
      <w:pPr>
        <w:pStyle w:val="ListBullet"/>
        <w:keepLines w:val="1"/>
        <w:keepNext w:val="1"/>
        <w:widowControl w:val="1"/>
      </w:pPr>
      <w:r>
        <w:t>O: sólidos BCP en papel, pero escasa práctica de ejercicios.</w:t>
      </w:r>
    </w:p>
    <w:p>
      <w:pPr>
        <w:pStyle w:val="ListBullet"/>
        <w:keepLines w:val="1"/>
        <w:keepNext w:val="1"/>
        <w:widowControl w:val="1"/>
      </w:pPr>
      <w:r>
        <w:t>Construir un relato honesto sobre:</w:t>
      </w:r>
    </w:p>
    <w:p>
      <w:pPr>
        <w:pStyle w:val="ListBullet"/>
        <w:keepLines w:val="1"/>
        <w:keepNext w:val="1"/>
        <w:widowControl w:val="1"/>
      </w:pPr>
      <w:r>
        <w:t>Lo que ya se hace bien (para reforzarlo y reconocerlo).</w:t>
      </w:r>
    </w:p>
    <w:p>
      <w:pPr>
        <w:pStyle w:val="ListBullet"/>
        <w:keepLines w:val="1"/>
        <w:widowControl w:val="1"/>
      </w:pPr>
      <w:r>
        <w:t>Lo que hay que mejorar (sin dramatismos, pero con claridad).</w:t>
      </w:r>
    </w:p>
    <w:p>
      <w:r>
        <w:t xml:space="preserve">La plantilla </w:t>
      </w:r>
      <w:r>
        <w:rPr>
          <w:rFonts w:ascii="Courier New" w:hAnsi="Courier New"/>
          <w:sz w:val="18"/>
        </w:rPr>
        <w:t>ppt-reporte.md</w:t>
      </w:r>
      <w:r>
        <w:t xml:space="preserve"> está pensada precisamente para articular ese relato.</w:t>
      </w:r>
    </w:p>
    <w:p>
      <w:pPr>
        <w:pStyle w:val="Heading2"/>
        <w:keepNext/>
        <w:keepLines/>
      </w:pPr>
      <w:r>
        <w:rPr>
          <w:color w:val="0066CC"/>
        </w:rPr>
        <w:t>9. Frecuencia de repetición y seguimiento</w:t>
      </w:r>
    </w:p>
    <w:p>
      <w:pPr>
        <w:pStyle w:val="ListBullet"/>
        <w:keepLines w:val="1"/>
        <w:keepNext w:val="1"/>
        <w:widowControl w:val="1"/>
      </w:pPr>
      <w:r>
        <w:t>Recomendación mínima: repetir la encuesta una vez al año.</w:t>
      </w:r>
    </w:p>
    <w:p>
      <w:pPr>
        <w:pStyle w:val="ListBullet"/>
        <w:keepLines w:val="1"/>
        <w:keepNext w:val="1"/>
        <w:widowControl w:val="1"/>
      </w:pPr>
      <w:r>
        <w:t>En contextos muy dinámicos o bajo fuerte presión regulatoria, puede repetirse cada 6 meses con un enfoque más ligero.</w:t>
      </w:r>
    </w:p>
    <w:p>
      <w:pPr>
        <w:pStyle w:val="ListBullet"/>
        <w:keepLines w:val="1"/>
        <w:keepNext w:val="1"/>
        <w:widowControl w:val="1"/>
      </w:pPr>
      <w:r>
        <w:t>Es importante mantener:</w:t>
      </w:r>
    </w:p>
    <w:p>
      <w:pPr>
        <w:pStyle w:val="ListBullet"/>
        <w:keepLines w:val="1"/>
        <w:keepNext w:val="1"/>
        <w:widowControl w:val="1"/>
      </w:pPr>
      <w:r>
        <w:t>La trazabilidad de versiones del cuestionario.</w:t>
      </w:r>
    </w:p>
    <w:p>
      <w:pPr>
        <w:pStyle w:val="ListBullet"/>
        <w:keepLines w:val="1"/>
        <w:widowControl w:val="1"/>
      </w:pPr>
      <w:r>
        <w:t>La comparabilidad de escalas para poder analizar tendencias.</w:t>
      </w:r>
    </w:p>
    <w:p>
      <w:pPr>
        <w:pStyle w:val="Heading2"/>
        <w:keepNext/>
        <w:keepLines/>
      </w:pPr>
      <w:r>
        <w:rPr>
          <w:color w:val="0066CC"/>
        </w:rPr>
        <w:t>10. Limitaciones y advertencias</w:t>
      </w:r>
    </w:p>
    <w:p>
      <w:pPr>
        <w:pStyle w:val="ListBullet"/>
        <w:keepLines w:val="1"/>
        <w:keepNext w:val="1"/>
        <w:widowControl w:val="1"/>
      </w:pPr>
      <w:r>
        <w:t>La encuesta es un instrumento de autoevaluación: refleja percepciones informadas, pero no sustituye auditorías técnicas ni revisiones independientes.</w:t>
      </w:r>
    </w:p>
    <w:p>
      <w:pPr>
        <w:pStyle w:val="ListBullet"/>
        <w:keepLines w:val="1"/>
        <w:keepNext w:val="1"/>
        <w:widowControl w:val="1"/>
      </w:pPr>
      <w:r>
        <w:t>Las puntuaciones deben interpretarse relativamente (comparando dominios y evolución en el tiempo), no como verdades absolutas.</w:t>
      </w:r>
    </w:p>
    <w:p>
      <w:pPr>
        <w:pStyle w:val="ListBullet"/>
        <w:keepLines w:val="1"/>
        <w:widowControl w:val="1"/>
      </w:pPr>
      <w:r>
        <w:t>Las estimaciones de ROI son aproximadas y dependen de la calidad de las hipótesis sobre pérdidas evitadas.</w:t>
      </w:r>
    </w:p>
    <w:p>
      <w:r>
        <w:t xml:space="preserve">Bien aplicada, la encuesta puede convertirse en un </w:t>
      </w:r>
      <w:r>
        <w:rPr>
          <w:b/>
        </w:rPr>
        <w:t>termómetro recurrente de ciber‑resilencia</w:t>
      </w:r>
      <w:r>
        <w:t>, útil tanto para los equipos técnicos como para los órganos de gobierno. Como todo buen termómetro, no cura por sí mismo, pero ayuda a decidir cuándo hace falta algo más que una manta y un vaso de agua caliente.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