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detallado de indicadores nacionales BCM / ciber‑resiliencia</w:t>
      </w:r>
    </w:p>
    <w:p>
      <w:r>
        <w:t>Este documento relaciona cada indicador nacional (IND‑xx) con los principales marcos normativos y de referencia: Estrategia Nacional de Ciberseguridad (ENCS), Plan Nacional de Ciberseguridad (PNC), Esquema Nacional de Seguridad (ENS), NIS2, DORA, normas ISO relevantes (27001, 22301, 27005, 27036), y grandes índices internacionales (GCI, NCSI).</w:t>
      </w:r>
    </w:p>
    <w:p>
      <w:r>
        <w:t xml:space="preserve">No pretende ser un análisis jurídico exhaustivo, sino una </w:t>
      </w:r>
      <w:r>
        <w:rPr>
          <w:b/>
        </w:rPr>
        <w:t>brújula de alineamiento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1. Convenciones</w:t>
      </w:r>
    </w:p>
    <w:p>
      <w:pPr>
        <w:pStyle w:val="ListBullet"/>
        <w:keepLines w:val="1"/>
        <w:keepNext w:val="1"/>
        <w:widowControl w:val="1"/>
      </w:pPr>
      <w:r>
        <w:t>Marco_Principal: marco o norma con relación más directa al indicador.</w:t>
      </w:r>
    </w:p>
    <w:p>
      <w:pPr>
        <w:pStyle w:val="ListBullet"/>
        <w:keepLines w:val="1"/>
        <w:keepNext w:val="1"/>
        <w:widowControl w:val="1"/>
      </w:pPr>
      <w:r>
        <w:t>Otros_Marcos: referencias adicionales de interés.</w:t>
      </w:r>
    </w:p>
    <w:p>
      <w:pPr>
        <w:pStyle w:val="ListBullet"/>
        <w:keepLines w:val="1"/>
        <w:keepNext w:val="1"/>
        <w:widowControl w:val="1"/>
      </w:pPr>
      <w:r>
        <w:t>Tipo: carácter del requisito en la mayoría de casos de uso:</w:t>
      </w:r>
    </w:p>
    <w:p>
      <w:pPr>
        <w:pStyle w:val="ListBullet"/>
        <w:keepLines w:val="1"/>
        <w:keepNext w:val="1"/>
        <w:widowControl w:val="1"/>
      </w:pPr>
      <w:r>
        <w:t>OBLIGATORIO: deriva de exigencias legales/regulatorias para ciertos sujetos (por ejemplo, OSE bajo NIS2, AAPP bajo ENS, entidades financieras bajo DORA).</w:t>
      </w:r>
    </w:p>
    <w:p>
      <w:pPr>
        <w:pStyle w:val="ListBullet"/>
        <w:keepLines w:val="1"/>
        <w:keepNext w:val="1"/>
        <w:widowControl w:val="1"/>
      </w:pPr>
      <w:r>
        <w:t>PROGRAMÁTICO: deriva de estrategias y planes (ENCS, PNC), de obligado cumplimiento para la Administración, pero con margen de implementación.</w:t>
      </w:r>
    </w:p>
    <w:p>
      <w:pPr>
        <w:pStyle w:val="ListBullet"/>
        <w:keepLines w:val="1"/>
        <w:widowControl w:val="1"/>
      </w:pPr>
      <w:r>
        <w:t>BUENA_PRACTICA: alineado con recomendaciones de normas ISO u organismos internacionales.</w:t>
      </w:r>
    </w:p>
    <w:p>
      <w:pPr>
        <w:pStyle w:val="Heading2"/>
        <w:keepNext/>
        <w:keepLines/>
      </w:pPr>
      <w:r>
        <w:rPr>
          <w:color w:val="0066CC"/>
        </w:rPr>
        <w:t>2. Tabla de mapeo por indicador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Marco_Principal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Otros_Marcos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alineamiento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Estrategia Nacional de Ciberseguridad vigente (S/N)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ENCS 2019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Estrategia de Seguridad Nacional, GCI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PROGRAMÁTICO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Refleja la existencia de una estrategia país, requisito clave en GCI y en la arquitectura española de seguridad nacional.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de medidas del PNC ejecutadas o en curso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PNC, ENCS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Estrategia de Seguridad Nacional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PROGRAMÁTICO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Mide el grado de implementación real de la estrategia; directamente vinculado al cumplimiento interno de los compromisos del PNC.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Posición y puntuación en GCI y NCSI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GCI (ITU), NCSI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ENCS, PNC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BUENA_PRACTICA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 alineamiento global con marcos de referencia; no es exigencia legal, pero sí señal reputacional y de benchmarking internacional.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Nº de CERT/CSIRT nacionales con mandato operativo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ENCS, normativa de ciberseguridad nacional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NIS/NIS2, GCI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PROGRAMÁTICO / BUENA_PRACTICA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La existencia de CERTs/CSIRTs nacionales está prevista en ENCS y reflejada en GCI; NIS2 exige CSIRTs nacionales eficaces.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de OSE con BCP/BCM ISO 22301 probado 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(transposición nacional)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22301, ISO 27001/27031, DORA (sector financiero)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 / BUENA_PRACTICA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Relacionado con requisitos de gestión de riesgos y continuidad para OSE e «entidades importantes» bajo NIS2 y DORA, y buenas prácticas ISO 22301.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IND-06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sistemas públicos críticos con controles ENS de continuidad implantados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2022 (RD 311/2022)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ENCS 2019,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 / BUENA_PRACTICA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Directamente vinculado a los principios y medidas ENS sobre continuidad y disponibilidad de servicios públicos.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IND-07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Incidentes significativos por 100.000 hab. y sector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(reporting incidentes)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ENCS, ENS, GCI, NCSI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 / PROGRAMÁTICO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Conecta con obligaciones de notificación de incidentes (NIS2, ENS) y con el seguimiento estratégico de ENCS.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IND-08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MTTR nacional de servicios esenciales tras incidentes 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22301, ISO 27031, ENCS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 / BUENA_PRACTICA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Aunque la métrica concreta no esté siempre explicitada, el espíritu de NIS2 y DORA exige capacidad de recuperación rápida de servicios esenciales.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IND-09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de incidentes críticos que activan BCP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 / BUENA_PRACTICA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Relacionado con requisitos de planes de continuidad y gestión de incidentes; mide uso práctico de BCP exigidos por ENS y NIS2.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Pérdidas económicas anuales por ciberincidentes (% PIB)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ENCS, PNC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Estrategias económicas nacionales, estudios OCDE/UE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PROGRAMÁTICO / BUENA_PRACTICA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Indicador macroeconómico alineado con el seguimiento estratégico del impacto de la ciberinseguridad; sin obligación legal específica, pero muy recomendado.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IND-11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Días/año en modo degradado de servicios clave por incidentes 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22301, ISO 27031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 / BUENA_PRACTICA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Conecta con obligación de garantizar continuidad del servicio público y de servicios esenciales; operacionaliza la disponibilidad esperada.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IND-12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Nº ejercicios nacionales de cibercrisis/continuidad y % participación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ENCS, PNC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DORA, GCI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PROGRAMÁTICO / BUENA_PRACTICA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ENCS y PNC prevén ejercicios nacionales; NIS2 y DORA animan a pruebas periódicas. Importante también para buena clasificación en GCI.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IND-13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Personas formadas en ciberseguridad/continuidad por 100.000 hab.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ENCS, PNC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GCI, ISO 27001 (concienciación)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PROGRAMÁTICO / BUENA_PRACTICA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Alineado con objetivos de cultura de ciberseguridad y formación de ENCS y ENS; también pilar de desarrollo de capacidades en GCI.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IND-14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 org. públicas/OSE con al menos un ejercicio BCP anual con escenarios ciber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ENS, NIS2, DORA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ISO 22301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OBLIGATORIO / BUENA_PRACTICA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Toca de lleno las obligaciones de prueba de planes de continuidad bajo ENS, NIS2 y DORA y las buenas prácticas ISO 22301.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práctico del mapeo</w:t>
      </w:r>
    </w:p>
    <w:p>
      <w:pPr>
        <w:pStyle w:val="ListBullet"/>
        <w:keepLines w:val="1"/>
        <w:keepNext w:val="1"/>
        <w:widowControl w:val="1"/>
      </w:pPr>
      <w:r>
        <w:t>Permite identificar qué indicadores son más sensibles desde el punto de vista regulatorio (por ejemplo, IND‑05, IND‑06, IND‑07, IND‑08, IND‑09, IND‑11, IND‑14) y deberían estar en el radar permanente de reguladores y supervisores.</w:t>
      </w:r>
    </w:p>
    <w:p>
      <w:pPr>
        <w:pStyle w:val="ListBullet"/>
        <w:keepLines w:val="1"/>
        <w:keepNext w:val="1"/>
        <w:widowControl w:val="1"/>
      </w:pPr>
      <w:r>
        <w:t>Ayuda a conectar resultados de indicadores con narrativa normativa en informes y presentaciones (por ejemplo, «esta brecha en IND‑06 implica riesgo de incumplimiento ENS en X sistemas críticos»).</w:t>
      </w:r>
    </w:p>
    <w:p>
      <w:pPr>
        <w:pStyle w:val="ListBullet"/>
        <w:keepLines w:val="1"/>
        <w:widowControl w:val="1"/>
      </w:pPr>
      <w:r>
        <w:t>Sirve como base para diseñar cuadros de mando regulatorios que integren cumplimiento y resiliencia, evitando tener un tablero para cada sigla (ENS, NIS2, DORA, ISO…).</w:t>
      </w:r>
    </w:p>
    <w:p>
      <w:r>
        <w:t>Si en el futuro se ajustan ENS, se despliegan plenamente NIS2 y DORA, o se actualiza la ENCS, este mapeo deberá revisarse y versionarse explícitamente para mantener su valor.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