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detallado de las preguntas de la encuesta</w:t>
      </w:r>
    </w:p>
    <w:p>
      <w:r>
        <w:t>Nota: las referencias normativas son de alto nivel y deben adaptarse a la versión exacta de cada marco (ENS vigente, transposición nacional de NIS2, textos de DORA, etc.).</w:t>
      </w:r>
    </w:p>
    <w:p>
      <w:pPr>
        <w:pStyle w:val="Heading2"/>
        <w:keepNext/>
        <w:keepLines/>
      </w:pPr>
      <w:r>
        <w:rPr>
          <w:color w:val="0066CC"/>
        </w:rPr>
        <w:t>1. Convenciones</w:t>
      </w:r>
    </w:p>
    <w:p>
      <w:pPr>
        <w:pStyle w:val="ListBullet"/>
        <w:keepLines w:val="1"/>
        <w:keepNext w:val="1"/>
        <w:widowControl w:val="1"/>
      </w:pPr>
      <w:r>
        <w:t>Codigo_Pregunta: identificador único usado en la encuesta (por ejemplo, GOV-01).</w:t>
      </w:r>
    </w:p>
    <w:p>
      <w:pPr>
        <w:pStyle w:val="ListBullet"/>
        <w:keepLines w:val="1"/>
        <w:keepNext w:val="1"/>
        <w:widowControl w:val="1"/>
      </w:pPr>
      <w:r>
        <w:t>Dominio: grupo temático principal.</w:t>
      </w:r>
    </w:p>
    <w:p>
      <w:pPr>
        <w:pStyle w:val="ListBullet"/>
        <w:keepLines w:val="1"/>
        <w:keepNext w:val="1"/>
        <w:widowControl w:val="1"/>
      </w:pPr>
      <w:r>
        <w:t>Marco_Normativo: principal marco de referencia asociado.</w:t>
      </w:r>
    </w:p>
    <w:p>
      <w:pPr>
        <w:pStyle w:val="ListBullet"/>
        <w:keepLines w:val="1"/>
        <w:keepNext w:val="1"/>
        <w:widowControl w:val="1"/>
      </w:pPr>
      <w:r>
        <w:t>Referencia_Alta_Nivel: indicación del tipo de requisito o sección relevante (sin entrar en detalle de artículos concretos para mantener generalidad).</w:t>
      </w:r>
    </w:p>
    <w:p>
      <w:pPr>
        <w:pStyle w:val="ListBullet"/>
        <w:keepLines w:val="1"/>
        <w:keepNext w:val="1"/>
        <w:widowControl w:val="1"/>
      </w:pPr>
      <w:r>
        <w:t>Tipo_Requisito:</w:t>
      </w:r>
    </w:p>
    <w:p>
      <w:pPr>
        <w:pStyle w:val="ListBullet"/>
        <w:keepLines w:val="1"/>
        <w:keepNext w:val="1"/>
        <w:widowControl w:val="1"/>
      </w:pPr>
      <w:r>
        <w:t>OBLIGATORIO: suele implicar requerimiento legal/regulatorio para ciertos sectores/organizaciones.</w:t>
      </w:r>
    </w:p>
    <w:p>
      <w:pPr>
        <w:pStyle w:val="ListBullet"/>
        <w:keepLines w:val="1"/>
        <w:widowControl w:val="1"/>
      </w:pPr>
      <w:r>
        <w:t>RECOMENDADO: buena práctica habitual en normas ISO u orientaciones supervisoras.</w:t>
      </w:r>
    </w:p>
    <w:p>
      <w:pPr>
        <w:pStyle w:val="Heading2"/>
        <w:keepNext/>
        <w:keepLines/>
      </w:pPr>
      <w:r>
        <w:rPr>
          <w:color w:val="0066CC"/>
        </w:rPr>
        <w:t>2. 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Codigo_Pregunta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resumido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Marco_Normativo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Referencia_Alta_Nivel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Tipo_Requisito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ORG-01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Tipo de organización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ORG-02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Tamaño de organización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ORG-03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Ámbito geográfico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ORG-04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Rol de la persona encuestada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ORG-05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Autopercepción de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 de ciberseguridad/BCM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Gobierno y organización de la seguridad, estrategia nacional/organizativa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ciberseguridad–BCM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27001,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Enfoque integral de seguridad y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Implicación de alta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Responsabilidad de la dirección, supervisión y reporting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Roles y responsabilidades formales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Organización de la seguridad, funciones claras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entre áreas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27001,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interna de seguridad y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GOV-06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Presupuesto dedicado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Recursos adecuados para gestión de riesgos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RISK-01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Marco de 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NIS2, ISO 27005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de seguridad de la información/TIC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RISK-02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análisis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NIS2, ISO 27005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Revisión periódica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RISK-03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Alcance del análisis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NIS2, ISO 27005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procesos, activos y servicios esenciales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RISK-04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Criterios de priorización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27005, marcos de riesgo corporativo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Metodología de valoración y priorización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RISK-05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Vinculación riesgos–BIA/BCM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de análisis de impacto y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VULN-01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VULN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para gestión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activos y configuración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VULN-02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VULN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Proceso de escaneo y remediación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vulnerabilidades y parches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VULN-03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VULN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vulnerabilidades–BCM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Consideración de debilidades técnicas en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VULN-04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VULN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de exposición a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PENT-01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pentests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Pruebas de seguridad y evaluación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PENT-02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Alcance de pentests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sistemas críticos en pruebas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PENT-03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resultados de pentests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de mitigación y 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PENT-04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pentests–BCM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de hallazgos técnicos en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Implantación de SIEM/monitorización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Detección de incidentes, monitorización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logs y eventos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de actividad y correlación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 de detección temprana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Detección y notificación rápida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SIEM–IR–BCM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entre detección, respuesta y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métricas de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Indicadores de rendimiento en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BCM-01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Programa formal de 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22301,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continuidad de negocio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BCM-02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 impacto (BIA)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Identificación de procesos críticos y impactos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BCM-03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Definición de RTO/RPO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Objetivos de tiempo y punto de recuperación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BCM-04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BCP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Planes de continuidad para procesos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BCM-05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Pruebas de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22301,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Ejercicios y tests periódicos de BCP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BCM-06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Escenarios ciber en BCP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Consideración de ciberincidentes en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BCM-07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BCM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Operación en modo degradado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Procedimientos alternativos para servicios esenciales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BCM-08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DRP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Planes de recuperación TIC (DRP)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Recuperación de infraestructuras y servicios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AWARE-01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Programa de formación en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Concienciación y formación de personal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AWARE-02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 en continuidad y crisis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Capacitación en gestión de crisis y BCP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AWARE-03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Simulaciones (phishing, crisis)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Pruebas de concienciación y respuesta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AWARE-04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Implicación de dirección en concienciación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Liderazgo y cultura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AWARE-05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Medición de eficacia de 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acciones de concienciación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AWARE-06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Cultura de reporte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Procedimientos de notificación y reporte interno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MET-01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Disponibilidad de 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NIS2, ISO 27001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 y 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MET-02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reporte de 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Reporting periódico a la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MET-03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Indicadores de resiliencia (RTO/RPO, MTTR)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Medición de capacidad de recuperación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MET-04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Indicadores adelantados (simulacros, exposición)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ENS,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Indicadores proactivos de riesgo y resiliencia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MET-05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Vinculación de métricas con objetivos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27001, marcos de gestión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por objetivos de seguridad y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ROI-01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económica de iniciativas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DORA (sector financiero), buenas prácticas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coste‑beneficio de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ROI-02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escenarios de pérdida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DORA, 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 impacto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ROI-03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Comunicación del valor de la resiliencia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Información a la dirección y stakeholders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de terceros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DORA, ISO 27001, ISO 27036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en la cadena de suministro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de continuidad en contratos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Cláusulas de BCP/DRP en contratos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Participación de proveedores en ejercicios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DORA, ISO 22301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con terceros en pruebas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Visibilidad sobre cadena de suministro digital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ISO 27036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de dependencias y subproveedores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ECO-01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Participación en iniciativas sectoriales/nacionales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Estrategias nacionales, GCI/NCSI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Colaboración y cooperación en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ECO-02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con autoridades y CERTs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NIS2,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Notificación de incidentes y cooperación operativa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OBLIGATORIO/RECOMENDADO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ECO-03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ECO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Posición en el ecosistema de ciber‑resiliencia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GCI/NCSI, buenas prácticas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Rol de la organización en el ecosistema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RECOMENDADO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práctico del mapeo</w:t>
      </w:r>
    </w:p>
    <w:p>
      <w:r>
        <w:t>Este mapeo permite:</w:t>
      </w:r>
    </w:p>
    <w:p>
      <w:pPr>
        <w:pStyle w:val="ListBullet"/>
        <w:keepLines w:val="1"/>
        <w:keepNext w:val="1"/>
        <w:widowControl w:val="1"/>
      </w:pPr>
      <w:r>
        <w:t>Identificar rápidamente qué respuestas bajas se corresponden con riesgos potenciales de incumplimiento (especialmente para ENS, NIS2 y DORA).</w:t>
      </w:r>
    </w:p>
    <w:p>
      <w:pPr>
        <w:pStyle w:val="ListBullet"/>
        <w:keepLines w:val="1"/>
        <w:keepNext w:val="1"/>
        <w:widowControl w:val="1"/>
      </w:pPr>
      <w:r>
        <w:t xml:space="preserve">Priorizar acciones que tengan un doble beneficio:  </w:t>
      </w:r>
    </w:p>
    <w:p>
      <w:pPr>
        <w:pStyle w:val="ListBullet"/>
        <w:keepLines w:val="1"/>
        <w:keepNext w:val="1"/>
        <w:widowControl w:val="1"/>
      </w:pPr>
      <w:r>
        <w:t xml:space="preserve">Mejoran la madurez interna.  </w:t>
      </w:r>
    </w:p>
    <w:p>
      <w:pPr>
        <w:pStyle w:val="ListBullet"/>
        <w:keepLines w:val="1"/>
        <w:keepNext w:val="1"/>
        <w:widowControl w:val="1"/>
      </w:pPr>
      <w:r>
        <w:t>Refuerzan el alineamiento con marcos normativos.</w:t>
      </w:r>
    </w:p>
    <w:p>
      <w:pPr>
        <w:pStyle w:val="ListBullet"/>
        <w:keepLines w:val="1"/>
        <w:widowControl w:val="1"/>
      </w:pPr>
      <w:r>
        <w:t>Facilitar la conversación entre áreas técnicas, jurídicas y de cumplimiento, usando las preguntas de la encuesta como puente común.</w:t>
      </w:r>
    </w:p>
    <w:p>
      <w:r>
        <w:t>Es recomendable mantener este archivo sincronizado con:</w:t>
      </w:r>
    </w:p>
    <w:p>
      <w:pPr>
        <w:pStyle w:val="ListBullet"/>
        <w:keepLines w:val="1"/>
        <w:keepNext w:val="1"/>
        <w:widowControl w:val="1"/>
      </w:pPr>
      <w:r>
        <w:t>Cambios en la encuesta (nuevas preguntas, reordenación, etc.).</w:t>
      </w:r>
    </w:p>
    <w:p>
      <w:pPr>
        <w:pStyle w:val="ListBullet"/>
        <w:keepLines w:val="1"/>
        <w:widowControl w:val="1"/>
      </w:pPr>
      <w:r>
        <w:t>Actualizaciones normativas relevantes.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