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</w:t>
      </w:r>
    </w:p>
    <w:p>
      <w:r>
        <w:t>Diseño de indicadores nacionales de continuidad de negocio y ciber‑resiliencia</w:t>
      </w:r>
    </w:p>
    <w:p>
      <w:pPr>
        <w:pStyle w:val="Heading2"/>
        <w:keepNext/>
        <w:keepLines/>
      </w:pPr>
      <w:r>
        <w:rPr>
          <w:color w:val="0066CC"/>
        </w:rPr>
        <w:t>1. Propósito del marco</w:t>
      </w:r>
    </w:p>
    <w:p>
      <w:r>
        <w:t xml:space="preserve">Este documento define un </w:t>
      </w:r>
      <w:r>
        <w:rPr>
          <w:b/>
        </w:rPr>
        <w:t>marco integrativo GQM + PRAGMATIC</w:t>
      </w:r>
      <w:r>
        <w:t xml:space="preserve"> aplicado a los indicadores nacionales de Business Continuity Management (BCM) y ciber‑resiliencia propuestos en el informe “Business Continuity Management (BCM) for Effective Cyber Risk Management”.</w:t>
      </w:r>
    </w:p>
    <w:p>
      <w:r>
        <w:t>Objetivos del marco:</w:t>
      </w:r>
    </w:p>
    <w:p>
      <w:pPr>
        <w:pStyle w:val="ListNumber"/>
        <w:keepLines w:val="1"/>
        <w:keepNext w:val="1"/>
        <w:widowControl w:val="1"/>
      </w:pPr>
      <w:r>
        <w:t>Asegurar trazabilidad explícita desde los objetivos nacionales hasta los datos técnicos que alimentan los indicadores.</w:t>
      </w:r>
    </w:p>
    <w:p>
      <w:pPr>
        <w:pStyle w:val="ListNumber"/>
        <w:keepLines w:val="1"/>
        <w:keepNext w:val="1"/>
        <w:widowControl w:val="1"/>
      </w:pPr>
      <w:r>
        <w:t>Garantizar que cada métrica se evalúa bajo los nueve criterios PRAGMATIC (Predictivo, Relevante, Accionable, Genuino, Significativo, Preciso, Oportuno, Independiente, Rentable).</w:t>
      </w:r>
    </w:p>
    <w:p>
      <w:pPr>
        <w:pStyle w:val="ListNumber"/>
        <w:keepLines w:val="1"/>
        <w:widowControl w:val="1"/>
      </w:pPr>
      <w:r>
        <w:t>Facilitar una conversación madura entre responsables de política pública, reguladores, técnicos y analistas de datos sin que nadie sienta que habla en klingon.</w:t>
      </w:r>
    </w:p>
    <w:p>
      <w:pPr>
        <w:pStyle w:val="Heading2"/>
        <w:keepNext/>
        <w:keepLines/>
      </w:pPr>
      <w:r>
        <w:rPr>
          <w:color w:val="0066CC"/>
        </w:rPr>
        <w:t>2. Recordatorio de los indicadores nacionales propuestos</w:t>
      </w:r>
    </w:p>
    <w:p>
      <w:r>
        <w:t xml:space="preserve">Se utiliza un código </w:t>
      </w:r>
      <w:r>
        <w:rPr>
          <w:rFonts w:ascii="Courier New" w:hAnsi="Courier New"/>
          <w:sz w:val="18"/>
        </w:rPr>
        <w:t>IND-xx</w:t>
      </w:r>
      <w:r>
        <w:t xml:space="preserve"> para cada indicador.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nacional resumido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IND-01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Existencia y vigencia de Estrategia Nacional de Ciberseguridad con plan de acción e indicadores (S/N).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IND-02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medidas del Plan Nacional de Ciberseguridad (PNC) ejecutadas o en curso.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IND-03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Posición y puntuación de España en GCI (ITU) y NCSI.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IND-04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Nº de CERT/CSIRT nacionales (gobierno, ciudadanos/empresas, defensa) con mandato operativo definido.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IND-05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operadores de servicios esenciales (OSE) con BCP/BCM alineado con ISO 22301 o equivalente y probado al menos anual.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IND-06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sistemas de información del sector público con controles ENS de continuidad (BIA, BCP, pruebas, medios alternativos) implantados.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IND-07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Nº de ciberincidentes significativos por 100.000 habitantes y por sector.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IND-08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Tiempo medio nacional de recuperación de servicios esenciales tras incidentes TIC (MTTR agregado estimado).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IND-09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% de incidentes críticos en operadores esenciales que requieren activar planes de continuidad (uso real del BCP).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IND-10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Estimación anual de pérdidas económicas directas por ciberincidentes (% del PIB).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IND-11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Nº de días/año en los que servicios clave (salud, energía, transporte, administración electrónica) operan en modo degradado por incidentes TIC.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IND-12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Nº de ejercicios nacionales de cibercrisis/continuidad multi‑actor al año y % de CCAA/sectores participantes.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IND-13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Nº de personas formadas en ciberseguridad y continuidad por 100.000 habitantes.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IND-14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% de organizaciones del sector público y OSE que realizan al menos un ejercicio anual de BCP que incluya escenarios ciber.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GQM: de los grandes fines a las preguntas incómodas (y necesarias)</w:t>
      </w:r>
    </w:p>
    <w:p>
      <w:pPr>
        <w:pStyle w:val="Heading3"/>
        <w:keepNext/>
        <w:keepLines/>
      </w:pPr>
      <w:r>
        <w:t>3.1. Conceptos básicos</w:t>
      </w:r>
    </w:p>
    <w:p>
      <w:r>
        <w:rPr>
          <w:b/>
        </w:rPr>
        <w:t>G (Goal – Objetivo)</w:t>
      </w:r>
      <w:r/>
      <w:r>
        <w:br/>
        <w:t>Qué se quiere lograr, en términos claros y, si puede ser, medibles.</w:t>
      </w:r>
    </w:p>
    <w:p>
      <w:r>
        <w:rPr>
          <w:b/>
        </w:rPr>
        <w:t>Q (Question – Pregunta)</w:t>
      </w:r>
      <w:r/>
      <w:r>
        <w:br/>
        <w:t>Preguntas que, al responderse, nos indican si nos acercamos o no al objetivo.</w:t>
      </w:r>
    </w:p>
    <w:p>
      <w:r>
        <w:rPr>
          <w:b/>
        </w:rPr>
        <w:t>M (Metric – Métrica)</w:t>
      </w:r>
      <w:r/>
      <w:r>
        <w:br/>
        <w:t>Datos concretos que permiten responder a las preguntas.</w:t>
      </w:r>
    </w:p>
    <w:p>
      <w:r>
        <w:t xml:space="preserve">En nuestro contexto, los </w:t>
      </w:r>
      <w:r>
        <w:rPr>
          <w:b/>
        </w:rPr>
        <w:t>objetivos</w:t>
      </w:r>
      <w:r>
        <w:t xml:space="preserve"> se sitúan a nivel país (o territorio), las </w:t>
      </w:r>
      <w:r>
        <w:rPr>
          <w:b/>
        </w:rPr>
        <w:t>preguntas</w:t>
      </w:r>
      <w:r>
        <w:t xml:space="preserve"> las formula el estratega al gestor de programa, y las </w:t>
      </w:r>
      <w:r>
        <w:rPr>
          <w:b/>
        </w:rPr>
        <w:t>métricas</w:t>
      </w:r>
      <w:r>
        <w:t xml:space="preserve"> las sufre, con cariño, el equipo técnico que tiene que extraer los datos.</w:t>
      </w:r>
    </w:p>
    <w:p>
      <w:pPr>
        <w:pStyle w:val="Heading3"/>
        <w:keepNext/>
        <w:keepLines/>
      </w:pPr>
      <w:r>
        <w:t>3.2. Objetivos nacionales de referencia</w:t>
      </w:r>
    </w:p>
    <w:p>
      <w:r>
        <w:t>A modo de ejemplo, se proponen tres grandes objetivos nacionales de ciber‑resiliencia:</w:t>
      </w:r>
    </w:p>
    <w:p>
      <w:pPr>
        <w:pStyle w:val="ListBullet"/>
        <w:keepLines w:val="1"/>
        <w:keepNext w:val="1"/>
        <w:widowControl w:val="1"/>
      </w:pPr>
      <w:r>
        <w:t>G1. Garantizar la prestación continua de los servicios esenciales y funciones críticas del Estado ante ciberincidentes y fallos TIC graves.</w:t>
      </w:r>
    </w:p>
    <w:p>
      <w:pPr>
        <w:pStyle w:val="ListBullet"/>
        <w:keepLines w:val="1"/>
        <w:keepNext w:val="1"/>
        <w:widowControl w:val="1"/>
      </w:pPr>
      <w:r>
        <w:t>G2. Reducir de forma sostenida el impacto económico y social de los ciberincidentes a nivel nacional.</w:t>
      </w:r>
    </w:p>
    <w:p>
      <w:pPr>
        <w:pStyle w:val="ListBullet"/>
        <w:keepLines w:val="1"/>
        <w:widowControl w:val="1"/>
      </w:pPr>
      <w:r>
        <w:t>G3. Alinear las capacidades del país con los estándares europeos e internacionales de ciberseguridad y resiliencia.</w:t>
      </w:r>
    </w:p>
    <w:p>
      <w:r>
        <w:t>Cada indicador IND‑xx aportará evidencia, en mayor o menor medida, sobre uno o varios de estos objetivos.</w:t>
      </w:r>
    </w:p>
    <w:p>
      <w:pPr>
        <w:pStyle w:val="Heading2"/>
        <w:keepNext/>
        <w:keepLines/>
      </w:pPr>
      <w:r>
        <w:rPr>
          <w:color w:val="0066CC"/>
        </w:rPr>
        <w:t>4. PRAGMATIC: nueve filtros para no autoengañarse con las métricas</w:t>
      </w:r>
    </w:p>
    <w:p>
      <w:r>
        <w:t xml:space="preserve">Se utilizará el acrónimo </w:t>
      </w:r>
      <w:r>
        <w:rPr>
          <w:b/>
        </w:rPr>
        <w:t>PRAGMATIC</w:t>
      </w:r>
      <w:r>
        <w:t xml:space="preserve"> adaptado al castellano:</w:t>
      </w:r>
    </w:p>
    <w:p>
      <w:pPr>
        <w:pStyle w:val="ListNumber"/>
        <w:keepLines w:val="1"/>
        <w:keepNext w:val="1"/>
        <w:widowControl w:val="1"/>
      </w:pPr>
      <w:r>
        <w:t>Predictivo: ¿ayuda a anticipar problemas futuros o sólo cuenta batallas pasadas?</w:t>
      </w:r>
    </w:p>
    <w:p>
      <w:pPr>
        <w:pStyle w:val="ListNumber"/>
        <w:keepLines w:val="1"/>
        <w:keepNext w:val="1"/>
        <w:widowControl w:val="1"/>
      </w:pPr>
      <w:r>
        <w:t>Relevante: ¿está claramente vinculado a objetivos estratégicos (G1–G3) y decisiones de país?</w:t>
      </w:r>
    </w:p>
    <w:p>
      <w:pPr>
        <w:pStyle w:val="ListNumber"/>
        <w:keepLines w:val="1"/>
        <w:keepNext w:val="1"/>
        <w:widowControl w:val="1"/>
      </w:pPr>
      <w:r>
        <w:t>Accionable: ¿sugiere acciones concretas cuando empeora o mejora?</w:t>
      </w:r>
    </w:p>
    <w:p>
      <w:pPr>
        <w:pStyle w:val="ListNumber"/>
        <w:keepLines w:val="1"/>
        <w:keepNext w:val="1"/>
        <w:widowControl w:val="1"/>
      </w:pPr>
      <w:r>
        <w:t>Genuino: ¿mide realmente lo que dice medir, sin maquillaje ni efectos especiales?</w:t>
      </w:r>
    </w:p>
    <w:p>
      <w:pPr>
        <w:pStyle w:val="ListNumber"/>
        <w:keepLines w:val="1"/>
        <w:keepNext w:val="1"/>
        <w:widowControl w:val="1"/>
      </w:pPr>
      <w:r>
        <w:t>Significativo: ¿es comprensible y significativo para decisores no técnicos?</w:t>
      </w:r>
    </w:p>
    <w:p>
      <w:pPr>
        <w:pStyle w:val="ListNumber"/>
        <w:keepLines w:val="1"/>
        <w:keepNext w:val="1"/>
        <w:widowControl w:val="1"/>
      </w:pPr>
      <w:r>
        <w:t>Preciso: ¿tiene suficiente exactitud y consistencia para no dar lugar a malentendidos graves?</w:t>
      </w:r>
    </w:p>
    <w:p>
      <w:pPr>
        <w:pStyle w:val="ListNumber"/>
        <w:keepLines w:val="1"/>
        <w:keepNext w:val="1"/>
        <w:widowControl w:val="1"/>
      </w:pPr>
      <w:r>
        <w:t>Oportuno: ¿está disponible con la frecuencia y latencia adecuadas para decidir algo útil?</w:t>
      </w:r>
    </w:p>
    <w:p>
      <w:pPr>
        <w:pStyle w:val="ListNumber"/>
        <w:keepLines w:val="1"/>
        <w:keepNext w:val="1"/>
        <w:widowControl w:val="1"/>
      </w:pPr>
      <w:r>
        <w:t>Independiente: ¿no está excesivamente sesgado por intereses de quien lo reporta o por definiciones ambiguas?</w:t>
      </w:r>
    </w:p>
    <w:p>
      <w:pPr>
        <w:pStyle w:val="ListNumber"/>
        <w:keepLines w:val="1"/>
        <w:widowControl w:val="1"/>
      </w:pPr>
      <w:r>
        <w:t>Rentable (Cost‑effective): ¿el coste de obtenerlo es razonable frente al valor que aporta?</w:t>
      </w:r>
    </w:p>
    <w:p>
      <w:pPr>
        <w:pStyle w:val="Heading3"/>
        <w:keepNext/>
        <w:keepLines/>
      </w:pPr>
      <w:r>
        <w:t>4.1. Escala de valoración</w:t>
      </w:r>
    </w:p>
    <w:p>
      <w:r>
        <w:t>Para cada criterio se propondrá una escala común:</w:t>
      </w:r>
    </w:p>
    <w:p>
      <w:pPr>
        <w:pStyle w:val="ListBullet"/>
        <w:keepLines w:val="1"/>
        <w:keepNext w:val="1"/>
        <w:widowControl w:val="1"/>
      </w:pPr>
      <w:r>
        <w:t xml:space="preserve">3 – Alto: cumple bien el criterio.  </w:t>
      </w:r>
    </w:p>
    <w:p>
      <w:pPr>
        <w:pStyle w:val="ListBullet"/>
        <w:keepLines w:val="1"/>
        <w:keepNext w:val="1"/>
        <w:widowControl w:val="1"/>
      </w:pPr>
      <w:r>
        <w:t xml:space="preserve">2 – Medio: cumple parcialmente; aceptable con cautelas.  </w:t>
      </w:r>
    </w:p>
    <w:p>
      <w:pPr>
        <w:pStyle w:val="ListBullet"/>
        <w:keepLines w:val="1"/>
        <w:widowControl w:val="1"/>
      </w:pPr>
      <w:r>
        <w:t>1 – Bajo: limitado; la métrica requiere rediseño o uso muy prudente.</w:t>
      </w:r>
    </w:p>
    <w:p>
      <w:r>
        <w:t xml:space="preserve">Opcionalmente, se puede añadir un </w:t>
      </w:r>
      <w:r>
        <w:rPr>
          <w:b/>
        </w:rPr>
        <w:t>0 – No evaluado / No aplica</w:t>
      </w:r>
      <w:r>
        <w:t xml:space="preserve"> en casos excepcionales.</w:t>
      </w:r>
    </w:p>
    <w:p>
      <w:r>
        <w:t xml:space="preserve">Cada métrica IND‑xx tendrá una fila específica en la </w:t>
      </w:r>
      <w:r>
        <w:rPr>
          <w:b/>
        </w:rPr>
        <w:t>Matriz PRAGMATIC</w:t>
      </w:r>
      <w:r>
        <w:t xml:space="preserve"> con estos valores y un breve comentario.</w:t>
      </w:r>
    </w:p>
    <w:p>
      <w:pPr>
        <w:pStyle w:val="Heading2"/>
        <w:keepNext/>
        <w:keepLines/>
      </w:pPr>
      <w:r>
        <w:rPr>
          <w:color w:val="0066CC"/>
        </w:rPr>
        <w:t>5. Plantilla GQM para los indicadores nacionales</w:t>
      </w:r>
    </w:p>
    <w:p>
      <w:r>
        <w:t>A continuación se ofrece un esquema GQM por indicador. Las formulaciones de preguntas son orientativas; pueden adaptarse a la realidad institucional.</w:t>
      </w:r>
    </w:p>
    <w:p>
      <w:pPr>
        <w:pStyle w:val="Heading3"/>
        <w:keepNext/>
        <w:keepLines/>
      </w:pPr>
      <w:r>
        <w:t>5.1. IND-01 – Estrategia Nacional de Ciberseguridad vigente</w:t>
      </w:r>
    </w:p>
    <w:p>
      <w:pPr>
        <w:pStyle w:val="ListBullet"/>
        <w:keepLines w:val="1"/>
        <w:keepNext w:val="1"/>
        <w:widowControl w:val="1"/>
      </w:pPr>
      <w:r>
        <w:br/>
        <w:t>Objetivo principal relacionado (G):</w:t>
        <w:br/>
        <w:t xml:space="preserve">  G3 – Alinear las capacidades del país con estándares internacionales y marcos de referencia sólidos.</w:t>
        <w:br/>
      </w:r>
    </w:p>
    <w:p>
      <w:pPr>
        <w:pStyle w:val="ListBullet"/>
        <w:keepLines w:val="1"/>
        <w:keepNext w:val="1"/>
        <w:widowControl w:val="1"/>
      </w:pPr>
      <w:r>
        <w:br/>
        <w:t>Preguntas (Q):</w:t>
        <w:br/>
        <w:t xml:space="preserve">  Q1. ¿Existe una Estrategia Nacional de Ciberseguridad aprobada y vigente?</w:t>
        <w:br/>
        <w:t xml:space="preserve">  Q2. ¿Incluye dicha estrategia un plan de acción operativo con objetivos e indicadores?</w:t>
        <w:br/>
        <w:t xml:space="preserve">  Q3. ¿Se ha publicado y comunicado a los actores clave del ecosistema?</w:t>
        <w:br/>
      </w:r>
    </w:p>
    <w:p>
      <w:pPr>
        <w:pStyle w:val="ListBullet"/>
        <w:keepLines w:val="1"/>
        <w:widowControl w:val="1"/>
      </w:pPr>
      <w:r>
        <w:br/>
        <w:t>Métrica (M):</w:t>
        <w:br/>
        <w:t xml:space="preserve">  M1. Valor binario (0/1) que indica existencia y vigencia de la estrategia con plan de acción e indicadores.</w:t>
        <w:br/>
      </w:r>
    </w:p>
    <w:p>
      <w:r>
        <w:rPr>
          <w:b/>
        </w:rPr>
        <w:t>Objetivo principal relacionado (G):</w:t>
      </w:r>
      <w:r/>
      <w:r>
        <w:br/>
        <w:t xml:space="preserve">  G3 – Alinear las capacidades del país con estándares internacionales y marcos de referencia sólidos.</w:t>
      </w:r>
    </w:p>
    <w:p>
      <w:r>
        <w:rPr>
          <w:b/>
        </w:rPr>
        <w:t>Preguntas (Q):</w:t>
      </w:r>
      <w:r/>
      <w:r>
        <w:br/>
        <w:t xml:space="preserve">  Q1. ¿Existe una Estrategia Nacional de Ciberseguridad aprobada y vigente?</w:t>
      </w:r>
      <w:r/>
      <w:r>
        <w:br/>
        <w:t xml:space="preserve">  Q2. ¿Incluye dicha estrategia un plan de acción operativo con objetivos e indicadores?</w:t>
      </w:r>
      <w:r/>
      <w:r>
        <w:br/>
        <w:t xml:space="preserve">  Q3. ¿Se ha publicado y comunicado a los actores clave del ecosistema?</w:t>
      </w:r>
    </w:p>
    <w:p>
      <w:r>
        <w:rPr>
          <w:b/>
        </w:rPr>
        <w:t>Métrica (M):</w:t>
      </w:r>
      <w:r/>
      <w:r>
        <w:br/>
        <w:t xml:space="preserve">  M1. Valor binario (0/1) que indica existencia y vigencia de la estrategia con plan de acción e indicadores.</w:t>
      </w:r>
    </w:p>
    <w:p>
      <w:pPr>
        <w:pStyle w:val="Heading3"/>
        <w:keepNext/>
        <w:keepLines/>
      </w:pPr>
      <w:r>
        <w:t>5.2. IND-02 – % de medidas del PNC ejecutadas o en curso</w:t>
      </w:r>
    </w:p>
    <w:p>
      <w:pPr>
        <w:pStyle w:val="ListBullet"/>
        <w:keepLines w:val="1"/>
        <w:keepNext w:val="1"/>
        <w:widowControl w:val="1"/>
      </w:pPr>
      <w:r>
        <w:br/>
        <w:t>Objetivo principal:</w:t>
        <w:br/>
        <w:t xml:space="preserve">  G3 – Asegurar que la estrategia no se queda en papel, sino que se ejecuta.</w:t>
        <w:br/>
      </w:r>
    </w:p>
    <w:p>
      <w:pPr>
        <w:pStyle w:val="ListBullet"/>
        <w:keepLines w:val="1"/>
        <w:keepNext w:val="1"/>
        <w:widowControl w:val="1"/>
      </w:pPr>
      <w:r>
        <w:br/>
        <w:t>Preguntas:</w:t>
        <w:br/>
        <w:t xml:space="preserve">  Q1. ¿Cuántas medidas del PNC están completadas, en curso o pendientes?</w:t>
        <w:br/>
        <w:t xml:space="preserve">  Q2. ¿Cuál es el porcentaje de ejecución global y por eje estratégico?</w:t>
        <w:br/>
        <w:t xml:space="preserve">  Q3. ¿Se observan retrasos sistemáticos en bloques críticos (por ejemplo, protección de infraestructuras esenciales)?</w:t>
        <w:br/>
      </w:r>
    </w:p>
    <w:p>
      <w:pPr>
        <w:pStyle w:val="ListBullet"/>
        <w:keepLines w:val="1"/>
        <w:widowControl w:val="1"/>
      </w:pPr>
      <w:r>
        <w:br/>
        <w:t>Métricas:</w:t>
        <w:br/>
        <w:t xml:space="preserve">  M1. Nº total de medidas del PNC.</w:t>
        <w:br/>
        <w:t xml:space="preserve">  M2. Nº de medidas completadas.</w:t>
        <w:br/>
        <w:t xml:space="preserve">  M3. Nº de medidas en curso.</w:t>
        <w:br/>
        <w:t xml:space="preserve">  M4. IND‑02 = (M2 + M3) / M1 · 100.</w:t>
        <w:br/>
      </w:r>
    </w:p>
    <w:p>
      <w:r>
        <w:rPr>
          <w:b/>
        </w:rPr>
        <w:t>Objetivo principal:</w:t>
      </w:r>
      <w:r/>
      <w:r>
        <w:br/>
        <w:t xml:space="preserve">  G3 – Asegurar que la estrategia no se queda en papel, sino que se ejecuta.</w:t>
      </w:r>
    </w:p>
    <w:p>
      <w:r>
        <w:rPr>
          <w:b/>
        </w:rPr>
        <w:t>Preguntas:</w:t>
      </w:r>
      <w:r/>
      <w:r>
        <w:br/>
        <w:t xml:space="preserve">  Q1. ¿Cuántas medidas del PNC están completadas, en curso o pendientes?</w:t>
      </w:r>
      <w:r/>
      <w:r>
        <w:br/>
        <w:t xml:space="preserve">  Q2. ¿Cuál es el porcentaje de ejecución global y por eje estratégico?</w:t>
      </w:r>
      <w:r/>
      <w:r>
        <w:br/>
        <w:t xml:space="preserve">  Q3. ¿Se observan retrasos sistemáticos en bloques críticos (por ejemplo, protección de infraestructuras esenciales)?</w:t>
      </w:r>
    </w:p>
    <w:p>
      <w:r>
        <w:rPr>
          <w:b/>
        </w:rPr>
        <w:t>Métricas:</w:t>
      </w:r>
      <w:r/>
      <w:r>
        <w:br/>
        <w:t xml:space="preserve">  M1. Nº total de medidas del PNC.</w:t>
      </w:r>
      <w:r/>
      <w:r>
        <w:br/>
        <w:t xml:space="preserve">  M2. Nº de medidas completadas.</w:t>
      </w:r>
      <w:r/>
      <w:r>
        <w:br/>
        <w:t xml:space="preserve">  M3. Nº de medidas en curso.</w:t>
      </w:r>
      <w:r/>
      <w:r>
        <w:br/>
        <w:t xml:space="preserve">  M4. IND‑02 = (M2 + M3) / M1 · 100.</w:t>
      </w:r>
    </w:p>
    <w:p>
      <w:pPr>
        <w:pStyle w:val="Heading3"/>
        <w:keepNext/>
        <w:keepLines/>
      </w:pPr>
      <w:r>
        <w:t>5.3. IND-03 – Posición y puntuación en GCI y NCSI</w:t>
      </w:r>
    </w:p>
    <w:p>
      <w:pPr>
        <w:pStyle w:val="ListBullet"/>
        <w:keepLines w:val="1"/>
        <w:keepNext w:val="1"/>
        <w:widowControl w:val="1"/>
      </w:pPr>
      <w:r>
        <w:br/>
        <w:t>Objetivos principales:</w:t>
        <w:br/>
        <w:t xml:space="preserve">  G3 – Mantener una posición destacada en rankings internacionales reconocidos.</w:t>
        <w:br/>
        <w:t xml:space="preserve">  G1/G2 – Usar estos índices como referencia externa de madurez.</w:t>
        <w:br/>
      </w:r>
    </w:p>
    <w:p>
      <w:pPr>
        <w:pStyle w:val="ListBullet"/>
        <w:keepLines w:val="1"/>
        <w:keepNext w:val="1"/>
        <w:widowControl w:val="1"/>
      </w:pPr>
      <w:r>
        <w:br/>
        <w:t>Preguntas:</w:t>
        <w:br/>
        <w:t xml:space="preserve">  Q1. ¿En qué tier/posición se sitúa España en GCI y NCSI?</w:t>
        <w:br/>
        <w:t xml:space="preserve">  Q2. ¿Cómo evoluciona esa posición en el tiempo?</w:t>
        <w:br/>
        <w:t xml:space="preserve">  Q3. ¿En qué dimensiones concretas (legal, técnica, organizativa, etc.) se observan fortalezas y debilidades?</w:t>
        <w:br/>
      </w:r>
    </w:p>
    <w:p>
      <w:pPr>
        <w:pStyle w:val="ListBullet"/>
        <w:keepLines w:val="1"/>
        <w:widowControl w:val="1"/>
      </w:pPr>
      <w:r>
        <w:br/>
        <w:t>Métricas:</w:t>
        <w:br/>
        <w:t xml:space="preserve">  M1. Puntuación GCI.</w:t>
        <w:br/>
        <w:t xml:space="preserve">  M2. Posición GCI.</w:t>
        <w:br/>
        <w:t xml:space="preserve">  M3. Puntuación NCSI.</w:t>
        <w:br/>
        <w:t xml:space="preserve">  M4. Posición NCSI.</w:t>
        <w:br/>
        <w:t xml:space="preserve">  (Opcional: índice compuesto normalizado para seguimiento interno).</w:t>
        <w:br/>
      </w:r>
    </w:p>
    <w:p>
      <w:r>
        <w:rPr>
          <w:b/>
        </w:rPr>
        <w:t>Objetivos principales:</w:t>
      </w:r>
      <w:r/>
      <w:r>
        <w:br/>
        <w:t xml:space="preserve">  G3 – Mantener una posición destacada en rankings internacionales reconocidos.</w:t>
      </w:r>
      <w:r/>
      <w:r>
        <w:br/>
        <w:t xml:space="preserve">  G1/G2 – Usar estos índices como referencia externa de madurez.</w:t>
      </w:r>
    </w:p>
    <w:p>
      <w:r>
        <w:rPr>
          <w:b/>
        </w:rPr>
        <w:t>Preguntas:</w:t>
      </w:r>
      <w:r/>
      <w:r>
        <w:br/>
        <w:t xml:space="preserve">  Q1. ¿En qué tier/posición se sitúa España en GCI y NCSI?</w:t>
      </w:r>
      <w:r/>
      <w:r>
        <w:br/>
        <w:t xml:space="preserve">  Q2. ¿Cómo evoluciona esa posición en el tiempo?</w:t>
      </w:r>
      <w:r/>
      <w:r>
        <w:br/>
        <w:t xml:space="preserve">  Q3. ¿En qué dimensiones concretas (legal, técnica, organizativa, etc.) se observan fortalezas y debilidades?</w:t>
      </w:r>
    </w:p>
    <w:p>
      <w:r>
        <w:rPr>
          <w:b/>
        </w:rPr>
        <w:t>Métricas:</w:t>
      </w:r>
      <w:r/>
      <w:r>
        <w:br/>
        <w:t xml:space="preserve">  M1. Puntuación GCI.</w:t>
      </w:r>
      <w:r/>
      <w:r>
        <w:br/>
        <w:t xml:space="preserve">  M2. Posición GCI.</w:t>
      </w:r>
      <w:r/>
      <w:r>
        <w:br/>
        <w:t xml:space="preserve">  M3. Puntuación NCSI.</w:t>
      </w:r>
      <w:r/>
      <w:r>
        <w:br/>
        <w:t xml:space="preserve">  M4. Posición NCSI.</w:t>
      </w:r>
      <w:r/>
      <w:r>
        <w:br/>
        <w:t xml:space="preserve">  (Opcional: índice compuesto normalizado para seguimiento interno).</w:t>
      </w:r>
    </w:p>
    <w:p>
      <w:pPr>
        <w:pStyle w:val="Heading3"/>
        <w:keepNext/>
        <w:keepLines/>
      </w:pPr>
      <w:r>
        <w:t>5.4. IND-04 – Nº de CERT/CSIRT nacionales con mandato operativo</w:t>
      </w:r>
    </w:p>
    <w:p>
      <w:pPr>
        <w:pStyle w:val="ListBullet"/>
        <w:keepLines w:val="1"/>
        <w:keepNext w:val="1"/>
        <w:widowControl w:val="1"/>
      </w:pPr>
      <w:r>
        <w:br/>
        <w:t>Objetivos principales:</w:t>
        <w:br/>
        <w:t xml:space="preserve">  G1 – Garantizar capacidad de detección y respuesta coordinada.</w:t>
        <w:br/>
        <w:t xml:space="preserve">  G3 – Cumplir con requisitos de estrategias e instrumentos europeos.</w:t>
        <w:br/>
      </w:r>
    </w:p>
    <w:p>
      <w:pPr>
        <w:pStyle w:val="ListBullet"/>
        <w:keepLines w:val="1"/>
        <w:keepNext w:val="1"/>
        <w:widowControl w:val="1"/>
      </w:pPr>
      <w:r>
        <w:br/>
        <w:t>Preguntas:</w:t>
        <w:br/>
        <w:t xml:space="preserve">  Q1. ¿Cuántos CERT/CSIRT nacionales existen (gobierno, ciudadanos/empresas, defensa)?</w:t>
        <w:br/>
        <w:t xml:space="preserve">  Q2. ¿Tienen mandato definido, recursos y ámbito claro?</w:t>
        <w:br/>
        <w:t xml:space="preserve">  Q3. ¿Su cobertura es suficiente para el tamaño y complejidad del país?</w:t>
        <w:br/>
      </w:r>
    </w:p>
    <w:p>
      <w:pPr>
        <w:pStyle w:val="ListBullet"/>
        <w:keepLines w:val="1"/>
        <w:widowControl w:val="1"/>
      </w:pPr>
      <w:r>
        <w:br/>
        <w:t>Métricas:</w:t>
        <w:br/>
        <w:t xml:space="preserve">  M1. Nº de CERT/CSIRT nacionales formalmente designados.</w:t>
        <w:br/>
        <w:t xml:space="preserve">  M2. Nº de ellos con mandato operativo publicado.</w:t>
        <w:br/>
        <w:t xml:space="preserve">  (El indicador puede centrarse en M2; M1 sirve de contexto).</w:t>
        <w:br/>
      </w:r>
    </w:p>
    <w:p>
      <w:r>
        <w:rPr>
          <w:b/>
        </w:rPr>
        <w:t>Objetivos principales:</w:t>
      </w:r>
      <w:r/>
      <w:r>
        <w:br/>
        <w:t xml:space="preserve">  G1 – Garantizar capacidad de detección y respuesta coordinada.</w:t>
      </w:r>
      <w:r/>
      <w:r>
        <w:br/>
        <w:t xml:space="preserve">  G3 – Cumplir con requisitos de estrategias e instrumentos europeos.</w:t>
      </w:r>
    </w:p>
    <w:p>
      <w:r>
        <w:rPr>
          <w:b/>
        </w:rPr>
        <w:t>Preguntas:</w:t>
      </w:r>
      <w:r/>
      <w:r>
        <w:br/>
        <w:t xml:space="preserve">  Q1. ¿Cuántos CERT/CSIRT nacionales existen (gobierno, ciudadanos/empresas, defensa)?</w:t>
      </w:r>
      <w:r/>
      <w:r>
        <w:br/>
        <w:t xml:space="preserve">  Q2. ¿Tienen mandato definido, recursos y ámbito claro?</w:t>
      </w:r>
      <w:r/>
      <w:r>
        <w:br/>
        <w:t xml:space="preserve">  Q3. ¿Su cobertura es suficiente para el tamaño y complejidad del país?</w:t>
      </w:r>
    </w:p>
    <w:p>
      <w:r>
        <w:rPr>
          <w:b/>
        </w:rPr>
        <w:t>Métricas:</w:t>
      </w:r>
      <w:r/>
      <w:r>
        <w:br/>
        <w:t xml:space="preserve">  M1. Nº de CERT/CSIRT nacionales formalmente designados.</w:t>
      </w:r>
      <w:r/>
      <w:r>
        <w:br/>
        <w:t xml:space="preserve">  M2. Nº de ellos con mandato operativo publicado.</w:t>
      </w:r>
      <w:r/>
      <w:r>
        <w:br/>
        <w:t xml:space="preserve">  (El indicador puede centrarse en M2; M1 sirve de contexto).</w:t>
      </w:r>
    </w:p>
    <w:p>
      <w:pPr>
        <w:pStyle w:val="Heading3"/>
        <w:keepNext/>
        <w:keepLines/>
      </w:pPr>
      <w:r>
        <w:t>5.5. IND-05 – % de OSE con BCP alineado con ISO 22301 y probado</w:t>
      </w:r>
    </w:p>
    <w:p>
      <w:pPr>
        <w:pStyle w:val="ListBullet"/>
        <w:keepLines w:val="1"/>
        <w:keepNext w:val="1"/>
        <w:widowControl w:val="1"/>
      </w:pPr>
      <w:r>
        <w:br/>
        <w:t>Objetivos principales:</w:t>
        <w:br/>
        <w:t xml:space="preserve">  G1 – Asegurar la continuidad de servicios esenciales ante ciberincidentes.</w:t>
        <w:br/>
        <w:t xml:space="preserve">  G2 – Reducir el impacto de interrupciones sobre ciudadanía y economía.</w:t>
        <w:br/>
      </w:r>
    </w:p>
    <w:p>
      <w:pPr>
        <w:pStyle w:val="ListBullet"/>
        <w:keepLines w:val="1"/>
        <w:keepNext w:val="1"/>
        <w:widowControl w:val="1"/>
      </w:pPr>
      <w:r>
        <w:br/>
        <w:t>Preguntas:</w:t>
        <w:br/>
        <w:t xml:space="preserve">  Q1. ¿Cuántos operadores de servicios esenciales están obligados por NIS2 y normativa nacional?</w:t>
        <w:br/>
        <w:t xml:space="preserve">  Q2. ¿Cuántos disponen de BCP formalmente aprobado y alineado con ISO 22301 o equivalente?</w:t>
        <w:br/>
        <w:t xml:space="preserve">  Q3. ¿Cuántos han probado dicho BCP al menos una vez en el último año?</w:t>
        <w:br/>
      </w:r>
    </w:p>
    <w:p>
      <w:pPr>
        <w:pStyle w:val="ListBullet"/>
        <w:keepLines w:val="1"/>
        <w:widowControl w:val="1"/>
      </w:pPr>
      <w:r>
        <w:br/>
        <w:t>Métricas:</w:t>
        <w:br/>
        <w:t xml:space="preserve">  M1. Nº total de OSE identificados.</w:t>
        <w:br/>
        <w:t xml:space="preserve">  M2. Nº de OSE con BCP alineado con ISO 22301.</w:t>
        <w:br/>
        <w:t xml:space="preserve">  M3. Nº de OSE con BCP probado al menos una vez en el último año.</w:t>
        <w:br/>
        <w:t xml:space="preserve">  M4. IND‑05 = M3 / M1 · 100.</w:t>
        <w:br/>
      </w:r>
    </w:p>
    <w:p>
      <w:r>
        <w:rPr>
          <w:b/>
        </w:rPr>
        <w:t>Objetivos principales:</w:t>
      </w:r>
      <w:r/>
      <w:r>
        <w:br/>
        <w:t xml:space="preserve">  G1 – Asegurar la continuidad de servicios esenciales ante ciberincidentes.</w:t>
      </w:r>
      <w:r/>
      <w:r>
        <w:br/>
        <w:t xml:space="preserve">  G2 – Reducir el impacto de interrupciones sobre ciudadanía y economía.</w:t>
      </w:r>
    </w:p>
    <w:p>
      <w:r>
        <w:rPr>
          <w:b/>
        </w:rPr>
        <w:t>Preguntas:</w:t>
      </w:r>
      <w:r/>
      <w:r>
        <w:br/>
        <w:t xml:space="preserve">  Q1. ¿Cuántos operadores de servicios esenciales están obligados por NIS2 y normativa nacional?</w:t>
      </w:r>
      <w:r/>
      <w:r>
        <w:br/>
        <w:t xml:space="preserve">  Q2. ¿Cuántos disponen de BCP formalmente aprobado y alineado con ISO 22301 o equivalente?</w:t>
      </w:r>
      <w:r/>
      <w:r>
        <w:br/>
        <w:t xml:space="preserve">  Q3. ¿Cuántos han probado dicho BCP al menos una vez en el último año?</w:t>
      </w:r>
    </w:p>
    <w:p>
      <w:r>
        <w:rPr>
          <w:b/>
        </w:rPr>
        <w:t>Métricas:</w:t>
      </w:r>
      <w:r/>
      <w:r>
        <w:br/>
        <w:t xml:space="preserve">  M1. Nº total de OSE identificados.</w:t>
      </w:r>
      <w:r/>
      <w:r>
        <w:br/>
        <w:t xml:space="preserve">  M2. Nº de OSE con BCP alineado con ISO 22301.</w:t>
      </w:r>
      <w:r/>
      <w:r>
        <w:br/>
        <w:t xml:space="preserve">  M3. Nº de OSE con BCP probado al menos una vez en el último año.</w:t>
      </w:r>
      <w:r/>
      <w:r>
        <w:br/>
        <w:t xml:space="preserve">  M4. IND‑05 = M3 / M1 · 100.</w:t>
      </w:r>
    </w:p>
    <w:p>
      <w:pPr>
        <w:pStyle w:val="Heading3"/>
        <w:keepNext/>
        <w:keepLines/>
      </w:pPr>
      <w:r>
        <w:t>5.6. IND-06 – % de sistemas públicos con controles ENS de continuidad implantados</w:t>
      </w:r>
    </w:p>
    <w:p>
      <w:pPr>
        <w:pStyle w:val="ListBullet"/>
        <w:keepLines w:val="1"/>
        <w:keepNext w:val="1"/>
        <w:widowControl w:val="1"/>
      </w:pPr>
      <w:r>
        <w:br/>
        <w:t>Objetivos principales:</w:t>
        <w:br/>
        <w:t xml:space="preserve">  G1 – Reforzar la continuidad de los servicios públicos digitales.</w:t>
        <w:br/>
        <w:t xml:space="preserve">  G3 – Cumplir ENS y mandatos derivados de la ENCS.</w:t>
        <w:br/>
      </w:r>
    </w:p>
    <w:p>
      <w:pPr>
        <w:pStyle w:val="ListBullet"/>
        <w:keepLines w:val="1"/>
        <w:keepNext w:val="1"/>
        <w:widowControl w:val="1"/>
      </w:pPr>
      <w:r>
        <w:br/>
        <w:t>Preguntas:</w:t>
        <w:br/>
        <w:t xml:space="preserve">  Q1. ¿Cuántos sistemas sujetos al ENS se consideran críticos para la continuidad del servicio?</w:t>
        <w:br/>
        <w:t xml:space="preserve">  Q2. ¿En cuántos de ellos se han implantado los controles ENS relativos a BIA, BCP, pruebas y medios alternativos?</w:t>
        <w:br/>
        <w:t xml:space="preserve">  Q3. ¿Hay un plan de cierre de brechas para el resto?</w:t>
        <w:br/>
      </w:r>
    </w:p>
    <w:p>
      <w:pPr>
        <w:pStyle w:val="ListBullet"/>
        <w:keepLines w:val="1"/>
        <w:widowControl w:val="1"/>
      </w:pPr>
      <w:r>
        <w:br/>
        <w:t>Métricas:</w:t>
        <w:br/>
        <w:t xml:space="preserve">  M1. Nº de sistemas de información críticos sujetos a ENS.</w:t>
        <w:br/>
        <w:t xml:space="preserve">  M2. Nº de sistemas con todos los controles ENS de continuidad implantados.</w:t>
        <w:br/>
        <w:t xml:space="preserve">  M3. IND‑06 = M2 / M1 · 100.</w:t>
        <w:br/>
      </w:r>
    </w:p>
    <w:p>
      <w:r>
        <w:rPr>
          <w:b/>
        </w:rPr>
        <w:t>Objetivos principales:</w:t>
      </w:r>
      <w:r/>
      <w:r>
        <w:br/>
        <w:t xml:space="preserve">  G1 – Reforzar la continuidad de los servicios públicos digitales.</w:t>
      </w:r>
      <w:r/>
      <w:r>
        <w:br/>
        <w:t xml:space="preserve">  G3 – Cumplir ENS y mandatos derivados de la ENCS.</w:t>
      </w:r>
    </w:p>
    <w:p>
      <w:r>
        <w:rPr>
          <w:b/>
        </w:rPr>
        <w:t>Preguntas:</w:t>
      </w:r>
      <w:r/>
      <w:r>
        <w:br/>
        <w:t xml:space="preserve">  Q1. ¿Cuántos sistemas sujetos al ENS se consideran críticos para la continuidad del servicio?</w:t>
      </w:r>
      <w:r/>
      <w:r>
        <w:br/>
        <w:t xml:space="preserve">  Q2. ¿En cuántos de ellos se han implantado los controles ENS relativos a BIA, BCP, pruebas y medios alternativos?</w:t>
      </w:r>
      <w:r/>
      <w:r>
        <w:br/>
        <w:t xml:space="preserve">  Q3. ¿Hay un plan de cierre de brechas para el resto?</w:t>
      </w:r>
    </w:p>
    <w:p>
      <w:r>
        <w:rPr>
          <w:b/>
        </w:rPr>
        <w:t>Métricas:</w:t>
      </w:r>
      <w:r/>
      <w:r>
        <w:br/>
        <w:t xml:space="preserve">  M1. Nº de sistemas de información críticos sujetos a ENS.</w:t>
      </w:r>
      <w:r/>
      <w:r>
        <w:br/>
        <w:t xml:space="preserve">  M2. Nº de sistemas con todos los controles ENS de continuidad implantados.</w:t>
      </w:r>
      <w:r/>
      <w:r>
        <w:br/>
        <w:t xml:space="preserve">  M3. IND‑06 = M2 / M1 · 100.</w:t>
      </w:r>
    </w:p>
    <w:p>
      <w:pPr>
        <w:pStyle w:val="Heading3"/>
        <w:keepNext/>
        <w:keepLines/>
      </w:pPr>
      <w:r>
        <w:t>5.7. IND-07 – Nº de ciberincidentes significativos por 100.000 habitantes y por sector</w:t>
      </w:r>
    </w:p>
    <w:p>
      <w:pPr>
        <w:pStyle w:val="ListBullet"/>
        <w:keepLines w:val="1"/>
        <w:keepNext w:val="1"/>
        <w:widowControl w:val="1"/>
      </w:pPr>
      <w:r>
        <w:br/>
        <w:t>Objetivos principales:</w:t>
        <w:br/>
        <w:t xml:space="preserve">  G2 – Monitorear la exposición e impacto relativo en ciudadanía y sectores.</w:t>
        <w:br/>
        <w:t xml:space="preserve">  G1 – Identificar áreas que requieren refuerzo preventivo.</w:t>
        <w:br/>
      </w:r>
    </w:p>
    <w:p>
      <w:pPr>
        <w:pStyle w:val="ListBullet"/>
        <w:keepLines w:val="1"/>
        <w:keepNext w:val="1"/>
        <w:widowControl w:val="1"/>
      </w:pPr>
      <w:r>
        <w:br/>
        <w:t>Preguntas:</w:t>
        <w:br/>
        <w:t xml:space="preserve">  Q1. ¿Cuántos ciberincidentes significativos se registran al año por sector?</w:t>
        <w:br/>
        <w:t xml:space="preserve">  Q2. ¿Cómo evoluciona la tasa por 100.000 habitantes?</w:t>
        <w:br/>
        <w:t xml:space="preserve">  Q3. ¿Qué sectores presentan mayor crecimiento o niveles anómalos?</w:t>
        <w:br/>
      </w:r>
    </w:p>
    <w:p>
      <w:pPr>
        <w:pStyle w:val="ListBullet"/>
        <w:keepLines w:val="1"/>
        <w:widowControl w:val="1"/>
      </w:pPr>
      <w:r>
        <w:br/>
        <w:t>Métricas:</w:t>
        <w:br/>
        <w:t xml:space="preserve">  M1. Nº de incidentes significativos por sector/año.</w:t>
        <w:br/>
        <w:t xml:space="preserve">  M2. Población por sector/ámbito.</w:t>
        <w:br/>
        <w:t xml:space="preserve">  M3. IND‑07_sector = (M1 / población) · 100.000.</w:t>
        <w:br/>
      </w:r>
    </w:p>
    <w:p>
      <w:r>
        <w:rPr>
          <w:b/>
        </w:rPr>
        <w:t>Objetivos principales:</w:t>
      </w:r>
      <w:r/>
      <w:r>
        <w:br/>
        <w:t xml:space="preserve">  G2 – Monitorear la exposición e impacto relativo en ciudadanía y sectores.</w:t>
      </w:r>
      <w:r/>
      <w:r>
        <w:br/>
        <w:t xml:space="preserve">  G1 – Identificar áreas que requieren refuerzo preventivo.</w:t>
      </w:r>
    </w:p>
    <w:p>
      <w:r>
        <w:rPr>
          <w:b/>
        </w:rPr>
        <w:t>Preguntas:</w:t>
      </w:r>
      <w:r/>
      <w:r>
        <w:br/>
        <w:t xml:space="preserve">  Q1. ¿Cuántos ciberincidentes significativos se registran al año por sector?</w:t>
      </w:r>
      <w:r/>
      <w:r>
        <w:br/>
        <w:t xml:space="preserve">  Q2. ¿Cómo evoluciona la tasa por 100.000 habitantes?</w:t>
      </w:r>
      <w:r/>
      <w:r>
        <w:br/>
        <w:t xml:space="preserve">  Q3. ¿Qué sectores presentan mayor crecimiento o niveles anómalos?</w:t>
      </w:r>
    </w:p>
    <w:p>
      <w:r>
        <w:rPr>
          <w:b/>
        </w:rPr>
        <w:t>Métricas:</w:t>
      </w:r>
      <w:r/>
      <w:r>
        <w:br/>
        <w:t xml:space="preserve">  M1. Nº de incidentes significativos por sector/año.</w:t>
      </w:r>
      <w:r/>
      <w:r>
        <w:br/>
        <w:t xml:space="preserve">  M2. Población por sector/ámbito.</w:t>
      </w:r>
      <w:r/>
      <w:r>
        <w:br/>
        <w:t xml:space="preserve">  M3. IND‑07_sector = (M1 / población) · 100.000.</w:t>
      </w:r>
    </w:p>
    <w:p>
      <w:pPr>
        <w:pStyle w:val="Heading3"/>
        <w:keepNext/>
        <w:keepLines/>
      </w:pPr>
      <w:r>
        <w:t>5.8. IND-08 – MTTR nacional de servicios esenciales</w:t>
      </w:r>
    </w:p>
    <w:p>
      <w:pPr>
        <w:pStyle w:val="ListBullet"/>
        <w:keepLines w:val="1"/>
        <w:keepNext w:val="1"/>
        <w:widowControl w:val="1"/>
      </w:pPr>
      <w:r>
        <w:br/>
        <w:t>Objetivos principales:</w:t>
        <w:br/>
        <w:t xml:space="preserve">  G1 – Reducir el tiempo de indisponibilidad de servicios esenciales.</w:t>
        <w:br/>
        <w:t xml:space="preserve">  G2 – Limitar el impacto acumulado de las interrupciones.</w:t>
        <w:br/>
      </w:r>
    </w:p>
    <w:p>
      <w:pPr>
        <w:pStyle w:val="ListBullet"/>
        <w:keepLines w:val="1"/>
        <w:keepNext w:val="1"/>
        <w:widowControl w:val="1"/>
      </w:pPr>
      <w:r>
        <w:br/>
        <w:t>Preguntas:</w:t>
        <w:br/>
        <w:t xml:space="preserve">  Q1. ¿Cuál es el tiempo medio de recuperación de servicios esenciales tras incidentes TIC?</w:t>
        <w:br/>
        <w:t xml:space="preserve">  Q2. ¿Se observa una tendencia de mejora (descenso) en dicho MTTR?</w:t>
        <w:br/>
        <w:t xml:space="preserve">  Q3. ¿Hay diferencias significativas entre sectores o regiones?</w:t>
        <w:br/>
      </w:r>
    </w:p>
    <w:p>
      <w:pPr>
        <w:pStyle w:val="ListBullet"/>
        <w:keepLines w:val="1"/>
        <w:widowControl w:val="1"/>
      </w:pPr>
      <w:r>
        <w:br/>
        <w:t>Métricas:</w:t>
        <w:br/>
        <w:t xml:space="preserve">  M1. Para cada incidente crítico, tiempo desde interrupción hasta recuperación normal del servicio.</w:t>
        <w:br/>
        <w:t xml:space="preserve">  M2. IND‑08 = promedio ponderado (por criticidad) de M1 en el periodo.</w:t>
        <w:br/>
      </w:r>
    </w:p>
    <w:p>
      <w:r>
        <w:rPr>
          <w:b/>
        </w:rPr>
        <w:t>Objetivos principales:</w:t>
      </w:r>
      <w:r/>
      <w:r>
        <w:br/>
        <w:t xml:space="preserve">  G1 – Reducir el tiempo de indisponibilidad de servicios esenciales.</w:t>
      </w:r>
      <w:r/>
      <w:r>
        <w:br/>
        <w:t xml:space="preserve">  G2 – Limitar el impacto acumulado de las interrupciones.</w:t>
      </w:r>
    </w:p>
    <w:p>
      <w:r>
        <w:rPr>
          <w:b/>
        </w:rPr>
        <w:t>Preguntas:</w:t>
      </w:r>
      <w:r/>
      <w:r>
        <w:br/>
        <w:t xml:space="preserve">  Q1. ¿Cuál es el tiempo medio de recuperación de servicios esenciales tras incidentes TIC?</w:t>
      </w:r>
      <w:r/>
      <w:r>
        <w:br/>
        <w:t xml:space="preserve">  Q2. ¿Se observa una tendencia de mejora (descenso) en dicho MTTR?</w:t>
      </w:r>
      <w:r/>
      <w:r>
        <w:br/>
        <w:t xml:space="preserve">  Q3. ¿Hay diferencias significativas entre sectores o regiones?</w:t>
      </w:r>
    </w:p>
    <w:p>
      <w:r>
        <w:rPr>
          <w:b/>
        </w:rPr>
        <w:t>Métricas:</w:t>
      </w:r>
      <w:r/>
      <w:r>
        <w:br/>
        <w:t xml:space="preserve">  M1. Para cada incidente crítico, tiempo desde interrupción hasta recuperación normal del servicio.</w:t>
      </w:r>
      <w:r/>
      <w:r>
        <w:br/>
        <w:t xml:space="preserve">  M2. IND‑08 = promedio ponderado (por criticidad) de M1 en el periodo.</w:t>
      </w:r>
    </w:p>
    <w:p>
      <w:pPr>
        <w:pStyle w:val="Heading3"/>
        <w:keepNext/>
        <w:keepLines/>
      </w:pPr>
      <w:r>
        <w:t>5.9. IND-09 – % de incidentes críticos que activan BCP</w:t>
      </w:r>
    </w:p>
    <w:p>
      <w:pPr>
        <w:pStyle w:val="ListBullet"/>
        <w:keepLines w:val="1"/>
        <w:keepNext w:val="1"/>
        <w:widowControl w:val="1"/>
      </w:pPr>
      <w:r>
        <w:br/>
        <w:t>Objetivos principales:</w:t>
        <w:br/>
        <w:t xml:space="preserve">  G1 – Verificar uso real de los BCP, no sólo su existencia en papel.</w:t>
        <w:br/>
        <w:t xml:space="preserve">  G2 – Medir la madurez operativa de la respuesta.</w:t>
        <w:br/>
      </w:r>
    </w:p>
    <w:p>
      <w:pPr>
        <w:pStyle w:val="ListBullet"/>
        <w:keepLines w:val="1"/>
        <w:keepNext w:val="1"/>
        <w:widowControl w:val="1"/>
      </w:pPr>
      <w:r>
        <w:br/>
        <w:t>Preguntas:</w:t>
        <w:br/>
        <w:t xml:space="preserve">  Q1. ¿Qué proporción de incidentes críticos ha requerido activar BCP?</w:t>
        <w:br/>
        <w:t xml:space="preserve">  Q2. ¿En cuántos casos se siguió el BCP según lo previsto?</w:t>
        <w:br/>
        <w:t xml:space="preserve">  Q3. ¿Se extraen lecciones aprendidas y se actualizan planes?</w:t>
        <w:br/>
      </w:r>
    </w:p>
    <w:p>
      <w:pPr>
        <w:pStyle w:val="ListBullet"/>
        <w:keepLines w:val="1"/>
        <w:widowControl w:val="1"/>
      </w:pPr>
      <w:r>
        <w:br/>
        <w:t>Métricas:</w:t>
        <w:br/>
        <w:t xml:space="preserve">  M1. Nº de incidentes críticos registrados.</w:t>
        <w:br/>
        <w:t xml:space="preserve">  M2. Nº de incidentes críticos en los que se activó BCP.</w:t>
        <w:br/>
        <w:t xml:space="preserve">  M3. IND‑09 = M2 / M1 · 100.</w:t>
        <w:br/>
      </w:r>
    </w:p>
    <w:p>
      <w:r>
        <w:rPr>
          <w:b/>
        </w:rPr>
        <w:t>Objetivos principales:</w:t>
      </w:r>
      <w:r/>
      <w:r>
        <w:br/>
        <w:t xml:space="preserve">  G1 – Verificar uso real de los BCP, no sólo su existencia en papel.</w:t>
      </w:r>
      <w:r/>
      <w:r>
        <w:br/>
        <w:t xml:space="preserve">  G2 – Medir la madurez operativa de la respuesta.</w:t>
      </w:r>
    </w:p>
    <w:p>
      <w:r>
        <w:rPr>
          <w:b/>
        </w:rPr>
        <w:t>Preguntas:</w:t>
      </w:r>
      <w:r/>
      <w:r>
        <w:br/>
        <w:t xml:space="preserve">  Q1. ¿Qué proporción de incidentes críticos ha requerido activar BCP?</w:t>
      </w:r>
      <w:r/>
      <w:r>
        <w:br/>
        <w:t xml:space="preserve">  Q2. ¿En cuántos casos se siguió el BCP según lo previsto?</w:t>
      </w:r>
      <w:r/>
      <w:r>
        <w:br/>
        <w:t xml:space="preserve">  Q3. ¿Se extraen lecciones aprendidas y se actualizan planes?</w:t>
      </w:r>
    </w:p>
    <w:p>
      <w:r>
        <w:rPr>
          <w:b/>
        </w:rPr>
        <w:t>Métricas:</w:t>
      </w:r>
      <w:r/>
      <w:r>
        <w:br/>
        <w:t xml:space="preserve">  M1. Nº de incidentes críticos registrados.</w:t>
      </w:r>
      <w:r/>
      <w:r>
        <w:br/>
        <w:t xml:space="preserve">  M2. Nº de incidentes críticos en los que se activó BCP.</w:t>
      </w:r>
      <w:r/>
      <w:r>
        <w:br/>
        <w:t xml:space="preserve">  M3. IND‑09 = M2 / M1 · 100.</w:t>
      </w:r>
    </w:p>
    <w:p>
      <w:pPr>
        <w:pStyle w:val="Heading3"/>
        <w:keepNext/>
        <w:keepLines/>
      </w:pPr>
      <w:r>
        <w:t>5.10. IND-10 – Pérdidas económicas anuales por ciberincidentes (% PIB)</w:t>
      </w:r>
    </w:p>
    <w:p>
      <w:pPr>
        <w:pStyle w:val="ListBullet"/>
        <w:keepLines w:val="1"/>
        <w:keepNext w:val="1"/>
        <w:widowControl w:val="1"/>
      </w:pPr>
      <w:r>
        <w:br/>
        <w:t>Objetivos principales:</w:t>
        <w:br/>
        <w:t xml:space="preserve">  G2 – Poner cifras macroeconómicas al impacto de los ciberincidentes.</w:t>
        <w:br/>
        <w:t xml:space="preserve">  G3 – Conectar ciber‑resiliencia con política económica.</w:t>
        <w:br/>
      </w:r>
    </w:p>
    <w:p>
      <w:pPr>
        <w:pStyle w:val="ListBullet"/>
        <w:keepLines w:val="1"/>
        <w:keepNext w:val="1"/>
        <w:widowControl w:val="1"/>
      </w:pPr>
      <w:r>
        <w:br/>
        <w:t>Preguntas:</w:t>
        <w:br/>
        <w:t xml:space="preserve">  Q1. ¿Cuál es la estimación anual de pérdidas directas por ciberincidentes en el país?</w:t>
        <w:br/>
        <w:t xml:space="preserve">  Q2. ¿Qué peso suponen sobre el PIB?</w:t>
        <w:br/>
        <w:t xml:space="preserve">  Q3. ¿Qué tendencias se observan en los últimos años?</w:t>
        <w:br/>
      </w:r>
    </w:p>
    <w:p>
      <w:pPr>
        <w:pStyle w:val="ListBullet"/>
        <w:keepLines w:val="1"/>
        <w:widowControl w:val="1"/>
      </w:pPr>
      <w:r>
        <w:br/>
        <w:t>Métricas:</w:t>
        <w:br/>
        <w:t xml:space="preserve">  M1. Estimación monetaria anual de pérdidas directas por ciberincidentes (agregando fuentes sectoriales).</w:t>
        <w:br/>
        <w:t xml:space="preserve">  M2. PIB anual.</w:t>
        <w:br/>
        <w:t xml:space="preserve">  M3. IND‑10 = (M1 / M2) · 100.</w:t>
        <w:br/>
      </w:r>
    </w:p>
    <w:p>
      <w:r>
        <w:rPr>
          <w:b/>
        </w:rPr>
        <w:t>Objetivos principales:</w:t>
      </w:r>
      <w:r/>
      <w:r>
        <w:br/>
        <w:t xml:space="preserve">  G2 – Poner cifras macroeconómicas al impacto de los ciberincidentes.</w:t>
      </w:r>
      <w:r/>
      <w:r>
        <w:br/>
        <w:t xml:space="preserve">  G3 – Conectar ciber‑resiliencia con política económica.</w:t>
      </w:r>
    </w:p>
    <w:p>
      <w:r>
        <w:rPr>
          <w:b/>
        </w:rPr>
        <w:t>Preguntas:</w:t>
      </w:r>
      <w:r/>
      <w:r>
        <w:br/>
        <w:t xml:space="preserve">  Q1. ¿Cuál es la estimación anual de pérdidas directas por ciberincidentes en el país?</w:t>
      </w:r>
      <w:r/>
      <w:r>
        <w:br/>
        <w:t xml:space="preserve">  Q2. ¿Qué peso suponen sobre el PIB?</w:t>
      </w:r>
      <w:r/>
      <w:r>
        <w:br/>
        <w:t xml:space="preserve">  Q3. ¿Qué tendencias se observan en los últimos años?</w:t>
      </w:r>
    </w:p>
    <w:p>
      <w:r>
        <w:rPr>
          <w:b/>
        </w:rPr>
        <w:t>Métricas:</w:t>
      </w:r>
      <w:r/>
      <w:r>
        <w:br/>
        <w:t xml:space="preserve">  M1. Estimación monetaria anual de pérdidas directas por ciberincidentes (agregando fuentes sectoriales).</w:t>
      </w:r>
      <w:r/>
      <w:r>
        <w:br/>
        <w:t xml:space="preserve">  M2. PIB anual.</w:t>
      </w:r>
      <w:r/>
      <w:r>
        <w:br/>
        <w:t xml:space="preserve">  M3. IND‑10 = (M1 / M2) · 100.</w:t>
      </w:r>
    </w:p>
    <w:p>
      <w:pPr>
        <w:pStyle w:val="Heading3"/>
        <w:keepNext/>
        <w:keepLines/>
      </w:pPr>
      <w:r>
        <w:t>5.11. IND-11 – Nº de días/año en modo degradado por incidentes TIC</w:t>
      </w:r>
    </w:p>
    <w:p>
      <w:pPr>
        <w:pStyle w:val="ListBullet"/>
        <w:keepLines w:val="1"/>
        <w:keepNext w:val="1"/>
        <w:widowControl w:val="1"/>
      </w:pPr>
      <w:r>
        <w:br/>
        <w:t>Objetivos principales:</w:t>
        <w:br/>
        <w:t xml:space="preserve">  G1 – Medir la resiliencia funcional real del país (más allá de la dicotomía «funciona/no funciona»).</w:t>
        <w:br/>
        <w:t xml:space="preserve">  G2 – Identificar servicios con excesiva dependencia de modos degradados.</w:t>
        <w:br/>
      </w:r>
    </w:p>
    <w:p>
      <w:pPr>
        <w:pStyle w:val="ListBullet"/>
        <w:keepLines w:val="1"/>
        <w:keepNext w:val="1"/>
        <w:widowControl w:val="1"/>
      </w:pPr>
      <w:r>
        <w:br/>
        <w:t>Preguntas:</w:t>
        <w:br/>
        <w:t xml:space="preserve">  Q1. ¿Cuántos días al año operan en modo degradado servicios clave por incidentes TIC?</w:t>
        <w:br/>
        <w:t xml:space="preserve">  Q2. ¿En qué servicios y sectores se concentra este fenómeno?</w:t>
        <w:br/>
        <w:t xml:space="preserve">  Q3. ¿Se observa reducción de estos días gracias a mejoras de resiliencia?</w:t>
        <w:br/>
      </w:r>
    </w:p>
    <w:p>
      <w:pPr>
        <w:pStyle w:val="ListBullet"/>
        <w:keepLines w:val="1"/>
        <w:widowControl w:val="1"/>
      </w:pPr>
      <w:r>
        <w:br/>
        <w:t>Métricas:</w:t>
        <w:br/>
        <w:t xml:space="preserve">  M1. Para cada servicio clave, nº de días/año en modo degradado atribuibles a incidentes TIC.</w:t>
        <w:br/>
        <w:t xml:space="preserve">  M2. IND‑11_total = suma o promedio ponderado de M1 según criterios acordados.</w:t>
        <w:br/>
      </w:r>
    </w:p>
    <w:p>
      <w:r>
        <w:rPr>
          <w:b/>
        </w:rPr>
        <w:t>Objetivos principales:</w:t>
      </w:r>
      <w:r/>
      <w:r>
        <w:br/>
        <w:t xml:space="preserve">  G1 – Medir la resiliencia funcional real del país (más allá de la dicotomía «funciona/no funciona»).</w:t>
      </w:r>
      <w:r/>
      <w:r>
        <w:br/>
        <w:t xml:space="preserve">  G2 – Identificar servicios con excesiva dependencia de modos degradados.</w:t>
      </w:r>
    </w:p>
    <w:p>
      <w:r>
        <w:rPr>
          <w:b/>
        </w:rPr>
        <w:t>Preguntas:</w:t>
      </w:r>
      <w:r/>
      <w:r>
        <w:br/>
        <w:t xml:space="preserve">  Q1. ¿Cuántos días al año operan en modo degradado servicios clave por incidentes TIC?</w:t>
      </w:r>
      <w:r/>
      <w:r>
        <w:br/>
        <w:t xml:space="preserve">  Q2. ¿En qué servicios y sectores se concentra este fenómeno?</w:t>
      </w:r>
      <w:r/>
      <w:r>
        <w:br/>
        <w:t xml:space="preserve">  Q3. ¿Se observa reducción de estos días gracias a mejoras de resiliencia?</w:t>
      </w:r>
    </w:p>
    <w:p>
      <w:r>
        <w:rPr>
          <w:b/>
        </w:rPr>
        <w:t>Métricas:</w:t>
      </w:r>
      <w:r/>
      <w:r>
        <w:br/>
        <w:t xml:space="preserve">  M1. Para cada servicio clave, nº de días/año en modo degradado atribuibles a incidentes TIC.</w:t>
      </w:r>
      <w:r/>
      <w:r>
        <w:br/>
        <w:t xml:space="preserve">  M2. IND‑11_total = suma o promedio ponderado de M1 según criterios acordados.</w:t>
      </w:r>
    </w:p>
    <w:p>
      <w:pPr>
        <w:pStyle w:val="Heading3"/>
        <w:keepNext/>
        <w:keepLines/>
      </w:pPr>
      <w:r>
        <w:t>5.12. IND-12 – Ejercicios nacionales de cibercrisis/continuidad y participación</w:t>
      </w:r>
    </w:p>
    <w:p>
      <w:pPr>
        <w:pStyle w:val="ListBullet"/>
        <w:keepLines w:val="1"/>
        <w:keepNext w:val="1"/>
        <w:widowControl w:val="1"/>
      </w:pPr>
      <w:r>
        <w:br/>
        <w:t>Objetivos principales:</w:t>
        <w:br/>
        <w:t xml:space="preserve">  G1 – Fortalecer la preparación operativa multi‑actor.</w:t>
        <w:br/>
        <w:t xml:space="preserve">  G3 – Cumplir expectativas europeas de pruebas regulares.</w:t>
        <w:br/>
      </w:r>
    </w:p>
    <w:p>
      <w:pPr>
        <w:pStyle w:val="ListBullet"/>
        <w:keepLines w:val="1"/>
        <w:keepNext w:val="1"/>
        <w:widowControl w:val="1"/>
      </w:pPr>
      <w:r>
        <w:br/>
        <w:t>Preguntas:</w:t>
        <w:br/>
        <w:t xml:space="preserve">  Q1. ¿Cuántos ejercicios nacionales de cibercrisis/continuidad se realizan al año?</w:t>
        <w:br/>
        <w:t xml:space="preserve">  Q2. ¿Qué porcentaje de CCAA y sectores críticos participan?</w:t>
        <w:br/>
        <w:t xml:space="preserve">  Q3. ¿Se documentan y siguen sistemáticamente las lecciones aprendidas?</w:t>
        <w:br/>
      </w:r>
    </w:p>
    <w:p>
      <w:pPr>
        <w:pStyle w:val="ListBullet"/>
        <w:keepLines w:val="1"/>
        <w:widowControl w:val="1"/>
      </w:pPr>
      <w:r>
        <w:br/>
        <w:t>Métricas:</w:t>
        <w:br/>
        <w:t xml:space="preserve">  M1. Nº de ejercicios nacionales anuales.</w:t>
        <w:br/>
        <w:t xml:space="preserve">  M2. Nº de CCAA participantes / Nº total de CCAA.</w:t>
        <w:br/>
        <w:t xml:space="preserve">  M3. Nº de sectores críticos participantes / Nº total de sectores definidos.</w:t>
        <w:br/>
        <w:t xml:space="preserve">  (Opcional: índice compuesto de esfuerzo ejercicial).</w:t>
        <w:br/>
      </w:r>
    </w:p>
    <w:p>
      <w:r>
        <w:rPr>
          <w:b/>
        </w:rPr>
        <w:t>Objetivos principales:</w:t>
      </w:r>
      <w:r/>
      <w:r>
        <w:br/>
        <w:t xml:space="preserve">  G1 – Fortalecer la preparación operativa multi‑actor.</w:t>
      </w:r>
      <w:r/>
      <w:r>
        <w:br/>
        <w:t xml:space="preserve">  G3 – Cumplir expectativas europeas de pruebas regulares.</w:t>
      </w:r>
    </w:p>
    <w:p>
      <w:r>
        <w:rPr>
          <w:b/>
        </w:rPr>
        <w:t>Preguntas:</w:t>
      </w:r>
      <w:r/>
      <w:r>
        <w:br/>
        <w:t xml:space="preserve">  Q1. ¿Cuántos ejercicios nacionales de cibercrisis/continuidad se realizan al año?</w:t>
      </w:r>
      <w:r/>
      <w:r>
        <w:br/>
        <w:t xml:space="preserve">  Q2. ¿Qué porcentaje de CCAA y sectores críticos participan?</w:t>
      </w:r>
      <w:r/>
      <w:r>
        <w:br/>
        <w:t xml:space="preserve">  Q3. ¿Se documentan y siguen sistemáticamente las lecciones aprendidas?</w:t>
      </w:r>
    </w:p>
    <w:p>
      <w:r>
        <w:rPr>
          <w:b/>
        </w:rPr>
        <w:t>Métricas:</w:t>
      </w:r>
      <w:r/>
      <w:r>
        <w:br/>
        <w:t xml:space="preserve">  M1. Nº de ejercicios nacionales anuales.</w:t>
      </w:r>
      <w:r/>
      <w:r>
        <w:br/>
        <w:t xml:space="preserve">  M2. Nº de CCAA participantes / Nº total de CCAA.</w:t>
      </w:r>
      <w:r/>
      <w:r>
        <w:br/>
        <w:t xml:space="preserve">  M3. Nº de sectores críticos participantes / Nº total de sectores definidos.</w:t>
      </w:r>
      <w:r/>
      <w:r>
        <w:br/>
        <w:t xml:space="preserve">  (Opcional: índice compuesto de esfuerzo ejercicial).</w:t>
      </w:r>
    </w:p>
    <w:p>
      <w:pPr>
        <w:pStyle w:val="Heading3"/>
        <w:keepNext/>
        <w:keepLines/>
      </w:pPr>
      <w:r>
        <w:t>5.13. IND-13 – Nº de personas formadas en ciberseguridad/continuidad por 100.000 habitantes</w:t>
      </w:r>
    </w:p>
    <w:p>
      <w:pPr>
        <w:pStyle w:val="ListBullet"/>
        <w:keepLines w:val="1"/>
        <w:keepNext w:val="1"/>
        <w:widowControl w:val="1"/>
      </w:pPr>
      <w:r>
        <w:br/>
        <w:t>Objetivos principales:</w:t>
        <w:br/>
        <w:t xml:space="preserve">  G1 – Incrementar la capacidad humana de respuesta y prevención.</w:t>
        <w:br/>
        <w:t xml:space="preserve">  G2 – Mejorar cultura y comportamiento frente al riesgo digital.</w:t>
        <w:br/>
      </w:r>
    </w:p>
    <w:p>
      <w:pPr>
        <w:pStyle w:val="ListBullet"/>
        <w:keepLines w:val="1"/>
        <w:keepNext w:val="1"/>
        <w:widowControl w:val="1"/>
      </w:pPr>
      <w:r>
        <w:br/>
        <w:t>Preguntas:</w:t>
        <w:br/>
        <w:t xml:space="preserve">  Q1. ¿Cuántas personas han recibido formación relevante en ciberseguridad y/o continuidad en el año?</w:t>
        <w:br/>
        <w:t xml:space="preserve">  Q2. ¿Qué representación tienen ciudadanos, pymes y sector público?</w:t>
        <w:br/>
        <w:t xml:space="preserve">  Q3. ¿Cómo evoluciona la tasa por 100.000 habitantes?</w:t>
        <w:br/>
      </w:r>
    </w:p>
    <w:p>
      <w:pPr>
        <w:pStyle w:val="ListBullet"/>
        <w:keepLines w:val="1"/>
        <w:widowControl w:val="1"/>
      </w:pPr>
      <w:r>
        <w:br/>
        <w:t>Métricas:</w:t>
        <w:br/>
        <w:t xml:space="preserve">  M1. Nº de personas formadas (por tipo de programa y colectivo).</w:t>
        <w:br/>
        <w:t xml:space="preserve">  M2. Población total.</w:t>
        <w:br/>
        <w:t xml:space="preserve">  M3. IND‑13 = (M1 / población) · 100.000.</w:t>
        <w:br/>
      </w:r>
    </w:p>
    <w:p>
      <w:r>
        <w:rPr>
          <w:b/>
        </w:rPr>
        <w:t>Objetivos principales:</w:t>
      </w:r>
      <w:r/>
      <w:r>
        <w:br/>
        <w:t xml:space="preserve">  G1 – Incrementar la capacidad humana de respuesta y prevención.</w:t>
      </w:r>
      <w:r/>
      <w:r>
        <w:br/>
        <w:t xml:space="preserve">  G2 – Mejorar cultura y comportamiento frente al riesgo digital.</w:t>
      </w:r>
    </w:p>
    <w:p>
      <w:r>
        <w:rPr>
          <w:b/>
        </w:rPr>
        <w:t>Preguntas:</w:t>
      </w:r>
      <w:r/>
      <w:r>
        <w:br/>
        <w:t xml:space="preserve">  Q1. ¿Cuántas personas han recibido formación relevante en ciberseguridad y/o continuidad en el año?</w:t>
      </w:r>
      <w:r/>
      <w:r>
        <w:br/>
        <w:t xml:space="preserve">  Q2. ¿Qué representación tienen ciudadanos, pymes y sector público?</w:t>
      </w:r>
      <w:r/>
      <w:r>
        <w:br/>
        <w:t xml:space="preserve">  Q3. ¿Cómo evoluciona la tasa por 100.000 habitantes?</w:t>
      </w:r>
    </w:p>
    <w:p>
      <w:r>
        <w:rPr>
          <w:b/>
        </w:rPr>
        <w:t>Métricas:</w:t>
      </w:r>
      <w:r/>
      <w:r>
        <w:br/>
        <w:t xml:space="preserve">  M1. Nº de personas formadas (por tipo de programa y colectivo).</w:t>
      </w:r>
      <w:r/>
      <w:r>
        <w:br/>
        <w:t xml:space="preserve">  M2. Población total.</w:t>
      </w:r>
      <w:r/>
      <w:r>
        <w:br/>
        <w:t xml:space="preserve">  M3. IND‑13 = (M1 / población) · 100.000.</w:t>
      </w:r>
    </w:p>
    <w:p>
      <w:pPr>
        <w:pStyle w:val="Heading3"/>
        <w:keepNext/>
        <w:keepLines/>
      </w:pPr>
      <w:r>
        <w:t>5.14. IND-14 – % de organizaciones públicas/OSE con al menos un ejercicio BCP anual con escenarios ciber</w:t>
      </w:r>
    </w:p>
    <w:p>
      <w:pPr>
        <w:pStyle w:val="ListBullet"/>
        <w:keepLines w:val="1"/>
        <w:keepNext w:val="1"/>
        <w:widowControl w:val="1"/>
      </w:pPr>
      <w:r>
        <w:br/>
        <w:t>Objetivos principales:</w:t>
        <w:br/>
        <w:t xml:space="preserve">  G1 – Garantizar que la continuidad se practica, no sólo se predica.</w:t>
        <w:br/>
        <w:t xml:space="preserve">  G3 – Dar cumplimiento práctico a ENS, NIS2 y demás buena gente regulatoria.</w:t>
        <w:br/>
      </w:r>
    </w:p>
    <w:p>
      <w:pPr>
        <w:pStyle w:val="ListBullet"/>
        <w:keepLines w:val="1"/>
        <w:keepNext w:val="1"/>
        <w:widowControl w:val="1"/>
      </w:pPr>
      <w:r>
        <w:br/>
        <w:t>Preguntas:</w:t>
        <w:br/>
        <w:t xml:space="preserve">  Q1. ¿Cuántas organizaciones del sector público y OSE están dentro del alcance?</w:t>
        <w:br/>
        <w:t xml:space="preserve">  Q2. ¿Cuántas han realizado al menos un ejercicio de BCP con escenarios ciber en el último año?</w:t>
        <w:br/>
        <w:t xml:space="preserve">  Q3. ¿Se cubren escenarios relevantes (ransomware, DDoS, caída de proveedor cloud, etc.)?</w:t>
        <w:br/>
      </w:r>
    </w:p>
    <w:p>
      <w:pPr>
        <w:pStyle w:val="ListBullet"/>
        <w:keepLines w:val="1"/>
        <w:widowControl w:val="1"/>
      </w:pPr>
      <w:r>
        <w:br/>
        <w:t>Métricas:</w:t>
        <w:br/>
        <w:t xml:space="preserve">  M1. Nº total de organizaciones del sector público y OSE en el ámbito definido.</w:t>
        <w:br/>
        <w:t xml:space="preserve">  M2. Nº de ellas con al menos un ejercicio anual de BCP con escenarios ciber.</w:t>
        <w:br/>
        <w:t xml:space="preserve">  M3. IND‑14 = M2 / M1 · 100.</w:t>
        <w:br/>
      </w:r>
    </w:p>
    <w:p>
      <w:r>
        <w:rPr>
          <w:b/>
        </w:rPr>
        <w:t>Objetivos principales:</w:t>
      </w:r>
      <w:r/>
      <w:r>
        <w:br/>
        <w:t xml:space="preserve">  G1 – Garantizar que la continuidad se practica, no sólo se predica.</w:t>
      </w:r>
      <w:r/>
      <w:r>
        <w:br/>
        <w:t xml:space="preserve">  G3 – Dar cumplimiento práctico a ENS, NIS2 y demás buena gente regulatoria.</w:t>
      </w:r>
    </w:p>
    <w:p>
      <w:r>
        <w:rPr>
          <w:b/>
        </w:rPr>
        <w:t>Preguntas:</w:t>
      </w:r>
      <w:r/>
      <w:r>
        <w:br/>
        <w:t xml:space="preserve">  Q1. ¿Cuántas organizaciones del sector público y OSE están dentro del alcance?</w:t>
      </w:r>
      <w:r/>
      <w:r>
        <w:br/>
        <w:t xml:space="preserve">  Q2. ¿Cuántas han realizado al menos un ejercicio de BCP con escenarios ciber en el último año?</w:t>
      </w:r>
      <w:r/>
      <w:r>
        <w:br/>
        <w:t xml:space="preserve">  Q3. ¿Se cubren escenarios relevantes (ransomware, DDoS, caída de proveedor cloud, etc.)?</w:t>
      </w:r>
    </w:p>
    <w:p>
      <w:r>
        <w:rPr>
          <w:b/>
        </w:rPr>
        <w:t>Métricas:</w:t>
      </w:r>
      <w:r/>
      <w:r>
        <w:br/>
        <w:t xml:space="preserve">  M1. Nº total de organizaciones del sector público y OSE en el ámbito definido.</w:t>
      </w:r>
      <w:r/>
      <w:r>
        <w:br/>
        <w:t xml:space="preserve">  M2. Nº de ellas con al menos un ejercicio anual de BCP con escenarios ciber.</w:t>
      </w:r>
      <w:r/>
      <w:r>
        <w:br/>
        <w:t xml:space="preserve">  M3. IND‑14 = M2 / M1 · 100.</w:t>
      </w:r>
    </w:p>
    <w:p>
      <w:pPr>
        <w:pStyle w:val="Heading2"/>
        <w:keepNext/>
        <w:keepLines/>
      </w:pPr>
      <w:r>
        <w:rPr>
          <w:color w:val="0066CC"/>
        </w:rPr>
        <w:t>6. Uso conjunto de GQM y PRAGMATIC</w:t>
      </w:r>
    </w:p>
    <w:p>
      <w:pPr>
        <w:pStyle w:val="ListNumber"/>
        <w:keepLines w:val="1"/>
        <w:keepNext w:val="1"/>
        <w:widowControl w:val="1"/>
      </w:pPr>
      <w:r>
        <w:t>Definir objetivos nacionales (G1–G3) y, si se desea, objetivos más finos por dimensión (gobernanza, capacidades, rendimiento, impacto, ecosistema).</w:t>
      </w:r>
    </w:p>
    <w:p>
      <w:pPr>
        <w:pStyle w:val="ListNumber"/>
        <w:keepLines w:val="1"/>
        <w:keepNext w:val="1"/>
        <w:widowControl w:val="1"/>
      </w:pPr>
      <w:r>
        <w:t>Para cada indicador IND‑xx:</w:t>
      </w:r>
    </w:p>
    <w:p>
      <w:pPr>
        <w:pStyle w:val="ListNumber"/>
        <w:keepLines w:val="1"/>
        <w:keepNext w:val="1"/>
        <w:widowControl w:val="1"/>
      </w:pPr>
      <w:r>
        <w:t>Revisar que su formulación responde a al menos una pregunta GQM relevante.</w:t>
      </w:r>
    </w:p>
    <w:p>
      <w:pPr>
        <w:pStyle w:val="ListNumber"/>
        <w:keepLines w:val="1"/>
        <w:keepNext w:val="1"/>
        <w:widowControl w:val="1"/>
      </w:pPr>
      <w:r>
        <w:t>Ajustar preguntas (Q) y métricas (M) si hay desajustes o ambigüedades.</w:t>
      </w:r>
    </w:p>
    <w:p>
      <w:pPr>
        <w:pStyle w:val="ListNumber"/>
        <w:keepLines w:val="1"/>
        <w:keepNext w:val="1"/>
        <w:widowControl w:val="1"/>
      </w:pPr>
      <w:r>
        <w:t>Evaluar cada métrica con PRAGMATIC, asignando valores 1–3 por criterio y anotando comentarios.</w:t>
      </w:r>
    </w:p>
    <w:p>
      <w:pPr>
        <w:pStyle w:val="ListNumber"/>
        <w:keepLines w:val="1"/>
        <w:keepNext w:val="1"/>
        <w:widowControl w:val="1"/>
      </w:pPr>
      <w:r>
        <w:t>Refinar el catálogo de indicadores eliminando métricas con baja puntuación general (por ejemplo, muchas valoraciones 1) o rediseñándolas para que sean más predictivas, accionables u oportunas.</w:t>
      </w:r>
    </w:p>
    <w:p>
      <w:pPr>
        <w:pStyle w:val="ListNumber"/>
        <w:keepLines w:val="1"/>
        <w:widowControl w:val="1"/>
      </w:pPr>
      <w:r>
        <w:t>Documentar las elecciones: dejar por escrito por qué un indicador se mantiene, se reconfigura o se descarta.</w:t>
      </w:r>
    </w:p>
    <w:p>
      <w:r>
        <w:t xml:space="preserve">El resultado final será un sistema de indicadores que no sólo luce bien en una tabla, sino que </w:t>
      </w:r>
      <w:r>
        <w:rPr>
          <w:b/>
        </w:rPr>
        <w:t>conecta de forma transparente objetivos país → preguntas estratégicas → datos técnicos</w:t>
      </w:r>
      <w:r>
        <w:t>, y supera el filtro de «¿sirve realmente para algo o sólo para rellenar memorias?».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