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Evaluación PRAGMATIC de los indicadores nacionales de continuidad de negocio y ciber‑resiliencia</w:t>
      </w:r>
    </w:p>
    <w:p>
      <w:pPr>
        <w:pStyle w:val="Heading2"/>
        <w:keepNext/>
        <w:keepLines/>
      </w:pPr>
      <w:r>
        <w:rPr>
          <w:color w:val="0066CC"/>
        </w:rPr>
        <w:t>1. Convenciones</w:t>
      </w:r>
    </w:p>
    <w:p>
      <w:pPr>
        <w:pStyle w:val="ListBullet"/>
        <w:keepLines w:val="1"/>
        <w:keepNext w:val="1"/>
        <w:widowControl w:val="1"/>
      </w:pPr>
      <w:r>
        <w:t>Escala por criterio PRAGMATIC:</w:t>
      </w:r>
    </w:p>
    <w:p>
      <w:pPr>
        <w:pStyle w:val="ListBullet"/>
        <w:keepLines w:val="1"/>
        <w:keepNext w:val="1"/>
        <w:widowControl w:val="1"/>
      </w:pPr>
      <w:r>
        <w:t>3 = Alto (la métrica cumple bien el criterio).</w:t>
      </w:r>
    </w:p>
    <w:p>
      <w:pPr>
        <w:pStyle w:val="ListBullet"/>
        <w:keepLines w:val="1"/>
        <w:keepNext w:val="1"/>
        <w:widowControl w:val="1"/>
      </w:pPr>
      <w:r>
        <w:t>2 = Medio (cumple parcialmente; utilizable con cautelas).</w:t>
      </w:r>
    </w:p>
    <w:p>
      <w:pPr>
        <w:pStyle w:val="ListBullet"/>
        <w:keepLines w:val="1"/>
        <w:keepNext w:val="1"/>
        <w:widowControl w:val="1"/>
      </w:pPr>
      <w:r>
        <w:t>1 = Bajo (cumple pobremente; conviene rediseñar o usar con mucha prudencia).</w:t>
      </w:r>
    </w:p>
    <w:p>
      <w:pPr>
        <w:pStyle w:val="ListBullet"/>
        <w:keepLines w:val="1"/>
        <w:keepNext w:val="1"/>
        <w:widowControl w:val="1"/>
      </w:pPr>
      <w:r>
        <w:t>Criterios:</w:t>
      </w:r>
    </w:p>
    <w:p>
      <w:pPr>
        <w:pStyle w:val="ListBullet"/>
        <w:keepLines w:val="1"/>
        <w:keepNext w:val="1"/>
        <w:widowControl w:val="1"/>
      </w:pPr>
      <w:r>
        <w:t>Predictivo: capacidad para anticipar problemas futuros.</w:t>
      </w:r>
    </w:p>
    <w:p>
      <w:pPr>
        <w:pStyle w:val="ListBullet"/>
        <w:keepLines w:val="1"/>
        <w:keepNext w:val="1"/>
        <w:widowControl w:val="1"/>
      </w:pPr>
      <w:r>
        <w:t>Relevante: alineación con objetivos estratégicos nacionales.</w:t>
      </w:r>
    </w:p>
    <w:p>
      <w:pPr>
        <w:pStyle w:val="ListBullet"/>
        <w:keepLines w:val="1"/>
        <w:keepNext w:val="1"/>
        <w:widowControl w:val="1"/>
      </w:pPr>
      <w:r>
        <w:t>Accionable: facilidad para derivar acciones concretas.</w:t>
      </w:r>
    </w:p>
    <w:p>
      <w:pPr>
        <w:pStyle w:val="ListBullet"/>
        <w:keepLines w:val="1"/>
        <w:keepNext w:val="1"/>
        <w:widowControl w:val="1"/>
      </w:pPr>
      <w:r>
        <w:t>Genuino: mide realmente lo que afirma medir.</w:t>
      </w:r>
    </w:p>
    <w:p>
      <w:pPr>
        <w:pStyle w:val="ListBullet"/>
        <w:keepLines w:val="1"/>
        <w:keepNext w:val="1"/>
        <w:widowControl w:val="1"/>
      </w:pPr>
      <w:r>
        <w:t>Significativo: comprensible y útil para decisores no técnicos.</w:t>
      </w:r>
    </w:p>
    <w:p>
      <w:pPr>
        <w:pStyle w:val="ListBullet"/>
        <w:keepLines w:val="1"/>
        <w:keepNext w:val="1"/>
        <w:widowControl w:val="1"/>
      </w:pPr>
      <w:r>
        <w:t>Preciso: exactitud y consistencia razonables.</w:t>
      </w:r>
    </w:p>
    <w:p>
      <w:pPr>
        <w:pStyle w:val="ListBullet"/>
        <w:keepLines w:val="1"/>
        <w:keepNext w:val="1"/>
        <w:widowControl w:val="1"/>
      </w:pPr>
      <w:r>
        <w:t>Oportuno: frecuencia y latencia adecuadas.</w:t>
      </w:r>
    </w:p>
    <w:p>
      <w:pPr>
        <w:pStyle w:val="ListBullet"/>
        <w:keepLines w:val="1"/>
        <w:keepNext w:val="1"/>
        <w:widowControl w:val="1"/>
      </w:pPr>
      <w:r>
        <w:t>Independiente: poco sesgo por parte del informante.</w:t>
      </w:r>
    </w:p>
    <w:p>
      <w:pPr>
        <w:pStyle w:val="ListBullet"/>
        <w:keepLines w:val="1"/>
        <w:widowControl w:val="1"/>
      </w:pPr>
      <w:r>
        <w:t>Rentable: buena relación coste/beneficio de obtención.</w:t>
      </w:r>
    </w:p>
    <w:p>
      <w:r>
        <w:t>Las valoraciones son orientativas; se pueden ajustar según la realidad institucional.</w:t>
      </w:r>
    </w:p>
    <w:p>
      <w:pPr>
        <w:pStyle w:val="Heading2"/>
        <w:keepNext/>
        <w:keepLines/>
      </w:pPr>
      <w:r>
        <w:rPr>
          <w:color w:val="0066CC"/>
        </w:rPr>
        <w:t>2. Matriz PRAGMATIC por indicador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(resumen)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sintético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Estrategia Nacional de Ciberseguridad vigente (S/N)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binaria sencilla, muy alineada con gobernanza; poco granular pero barata y clara.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medidas del PNC ejecutadas o en curso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para seguimiento de ejecución; precisión y objetividad dependen de disciplina de reporting.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Posición y puntuación en GCI y NCSI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benchmark externo; poco oportuna (actualización espaciada) y limitada acción directa.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de CERT/CSIRT nacionales con mandato operativo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estructural de capacidad; poco predictivo pero muy relevante para diseño de ecosistema.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OSE con BCP alineado ISO 22301 y probado anual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Fuerte poder predictivo sobre resiliencia sectorial; requiere criterios claros y auditorías para ser preciso.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sistemas públicos críticos con controles ENS de continuidad implantados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Clave para resiliencia del sector público; dependencia de calidad de autoevaluaciones ENS.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Incidentes significativos por 100.000 hab. y sector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significativo y relevante; mezcla exposición con mejora de detección, por lo que conviene contextualizar.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nacional de servicios esenciales tras incidentes TIC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estrella de resiliencia; exige normalizar qué es «recuperación» y requiere buen registro de tiempos.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IND-09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incidentes críticos que activan BCP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para mejorar uso real de BCP; riesgo de sesgo si activar BCP «queda feo» en el papel.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Pérdidas económicas anuales por ciberincidentes (% PIB)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Potente a nivel macro y muy significativo; difícil de estimar con precisión y coste alto si se hace bien.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IND-11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Días/año en modo degradado de servicios clave por incidentes TIC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medir resiliencia funcional; requiere definición común de «modo degradado» y buen registro operativo.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IND-12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ejercicios nacionales de cibercrisis/continuidad y % participación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y barato de medir; complementa bien a indicadores de desempeño real (MTTR, pérdidas).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IND-13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Personas formadas en ciber/BCM por 100.000 hab.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proxy de capacidad humana; la calidad real de la formación no siempre se refleja en el simple conteo.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IND-14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org. públicas/OSE con al menos un ejercicio BCP anual con escenarios ciber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Métrica muy orientada a práctica real de continuidad; exige inventario fiable de organizaciones en alcance.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Lectura transversal de la matriz</w:t>
      </w:r>
    </w:p>
    <w:p>
      <w:pPr>
        <w:pStyle w:val="Heading3"/>
        <w:keepNext/>
        <w:keepLines/>
      </w:pPr>
      <w:r>
        <w:t>3.1. Indicadores especialmente fuertes</w:t>
      </w:r>
    </w:p>
    <w:p>
      <w:pPr>
        <w:pStyle w:val="ListBullet"/>
        <w:keepLines w:val="1"/>
        <w:keepNext w:val="1"/>
        <w:widowControl w:val="1"/>
      </w:pPr>
      <w:r>
        <w:t>Muy altos en Relevante y Significativo (casi todos): el conjunto de indicadores está bien alineado con los objetivos nacionales (G1–G3) y resulta fácilmente comunicable a decisores.</w:t>
      </w:r>
    </w:p>
    <w:p>
      <w:pPr>
        <w:pStyle w:val="ListBullet"/>
        <w:keepLines w:val="1"/>
        <w:widowControl w:val="1"/>
      </w:pPr>
      <w:r>
        <w:t>Altos en Accionable: IND‑02, IND‑05, IND‑06, IND‑08, IND‑09, IND‑11, IND‑12, IND‑14 proporcionan palancas claras de actuación (implementar BCP, cerrar brechas ENS, reducir MTTR, aumentar ejercicios, etc.).</w:t>
      </w:r>
    </w:p>
    <w:p>
      <w:pPr>
        <w:pStyle w:val="Heading3"/>
        <w:keepNext/>
        <w:keepLines/>
      </w:pPr>
      <w:r>
        <w:t>3.2. Indicadores con cautelas</w:t>
      </w:r>
    </w:p>
    <w:p>
      <w:pPr>
        <w:pStyle w:val="ListBullet"/>
        <w:keepLines w:val="1"/>
        <w:keepNext w:val="1"/>
        <w:widowControl w:val="1"/>
      </w:pPr>
      <w:r>
        <w:t>Precision / Genuinidad delicadas:</w:t>
      </w:r>
    </w:p>
    <w:p>
      <w:pPr>
        <w:pStyle w:val="ListBullet"/>
        <w:keepLines w:val="1"/>
        <w:keepNext w:val="1"/>
        <w:widowControl w:val="1"/>
      </w:pPr>
      <w:r>
        <w:t>IND‑10 (pérdidas económicas % PIB) requiere modelización cuidada para no dar una falsa sensación de exactitud.</w:t>
      </w:r>
    </w:p>
    <w:p>
      <w:pPr>
        <w:pStyle w:val="ListBullet"/>
        <w:keepLines w:val="1"/>
        <w:keepNext w:val="1"/>
        <w:widowControl w:val="1"/>
      </w:pPr>
      <w:r>
        <w:t>IND‑07 (tasa de incidentes) mezcla efectos de mayor amenaza con mejor capacidad de detección.</w:t>
      </w:r>
    </w:p>
    <w:p>
      <w:pPr>
        <w:pStyle w:val="ListBullet"/>
        <w:keepLines w:val="1"/>
        <w:keepNext w:val="1"/>
        <w:widowControl w:val="1"/>
      </w:pPr>
      <w:r>
        <w:t>Independencia vulnerable:</w:t>
      </w:r>
    </w:p>
    <w:p>
      <w:pPr>
        <w:pStyle w:val="ListBullet"/>
        <w:keepLines w:val="1"/>
        <w:widowControl w:val="1"/>
      </w:pPr>
      <w:r>
        <w:t>IND‑02, IND‑05, IND‑06, IND‑09, IND‑14 dependen en parte de auto‑declaraciones o informes regulados; conviene combinar con auditorías o revisiones externas.</w:t>
      </w:r>
    </w:p>
    <w:p>
      <w:pPr>
        <w:pStyle w:val="Heading3"/>
        <w:keepNext/>
        <w:keepLines/>
      </w:pPr>
      <w:r>
        <w:t>3.3. Coste de obtención (Rentable)</w:t>
      </w:r>
    </w:p>
    <w:p>
      <w:pPr>
        <w:pStyle w:val="ListBullet"/>
        <w:keepLines w:val="1"/>
        <w:keepNext w:val="1"/>
        <w:widowControl w:val="1"/>
      </w:pPr>
      <w:r>
        <w:t>Muy rentables (3): IND‑01, IND‑03, IND‑04, IND‑12, en la medida en que requieren consolidar información ya recopilada por órganos centrales.</w:t>
      </w:r>
    </w:p>
    <w:p>
      <w:pPr>
        <w:pStyle w:val="ListBullet"/>
        <w:keepLines w:val="1"/>
        <w:keepNext w:val="1"/>
        <w:widowControl w:val="1"/>
      </w:pPr>
      <w:r>
        <w:t>Moderadamente rentables (2): IND‑05, IND‑06, IND‑07, IND‑08, IND‑09, IND‑11, IND‑13, IND‑14; suelen basarse en información que existe, pero exige estandarizar definiciones y procesos de recogida.</w:t>
      </w:r>
    </w:p>
    <w:p>
      <w:pPr>
        <w:pStyle w:val="ListBullet"/>
        <w:keepLines w:val="1"/>
        <w:widowControl w:val="1"/>
      </w:pPr>
      <w:r>
        <w:t>Costosos (1–2): IND‑10, cuando se pretende un cálculo riguroso y no una mera aproximación.</w:t>
      </w:r>
    </w:p>
    <w:p>
      <w:pPr>
        <w:pStyle w:val="Heading2"/>
        <w:keepNext/>
        <w:keepLines/>
      </w:pPr>
      <w:r>
        <w:rPr>
          <w:color w:val="0066CC"/>
        </w:rPr>
        <w:t>4. Cómo usar esta matriz en la práctica</w:t>
      </w:r>
    </w:p>
    <w:p>
      <w:pPr>
        <w:pStyle w:val="ListNumber"/>
        <w:keepLines w:val="1"/>
        <w:keepNext w:val="1"/>
        <w:widowControl w:val="1"/>
      </w:pPr>
      <w:r>
        <w:t>Revisión del catálogo: utilizar las valoraciones como punto de partida para decidir si:</w:t>
      </w:r>
    </w:p>
    <w:p>
      <w:pPr>
        <w:pStyle w:val="ListNumber"/>
        <w:keepLines w:val="1"/>
        <w:keepNext w:val="1"/>
        <w:widowControl w:val="1"/>
      </w:pPr>
      <w:r>
        <w:t>Se mantiene cada indicador tal cual.</w:t>
      </w:r>
    </w:p>
    <w:p>
      <w:pPr>
        <w:pStyle w:val="ListNumber"/>
        <w:keepLines w:val="1"/>
        <w:keepNext w:val="1"/>
        <w:widowControl w:val="1"/>
      </w:pPr>
      <w:r>
        <w:t>Se refina su definición (especialmente donde Preciso, Independiente o Rentable reciban 1).</w:t>
      </w:r>
    </w:p>
    <w:p>
      <w:pPr>
        <w:pStyle w:val="ListNumber"/>
        <w:keepLines w:val="1"/>
        <w:keepNext w:val="1"/>
        <w:widowControl w:val="1"/>
      </w:pPr>
      <w:r>
        <w:br/>
        <w:t>Se complementa con indicadores hermanos (por ejemplo, separar incidentes por tipología o severidad).</w:t>
        <w:br/>
      </w:r>
    </w:p>
    <w:p>
      <w:pPr>
        <w:pStyle w:val="ListNumber"/>
        <w:keepLines w:val="1"/>
        <w:keepNext w:val="1"/>
        <w:widowControl w:val="1"/>
      </w:pPr>
      <w:r>
        <w:br/>
        <w:t>Priorización de indicadores clave: en informes de alto nivel, puede priorizarse la comunicación de:</w:t>
        <w:br/>
      </w:r>
    </w:p>
    <w:p>
      <w:pPr>
        <w:pStyle w:val="ListNumber"/>
        <w:keepLines w:val="1"/>
        <w:keepNext w:val="1"/>
        <w:widowControl w:val="1"/>
      </w:pPr>
      <w:r>
        <w:br/>
        <w:t>IND‑05, IND‑06, IND‑08, IND‑11, IND‑12, IND‑14 como «núcleo duro» de resiliencia nacional.</w:t>
        <w:br/>
      </w:r>
    </w:p>
    <w:p>
      <w:pPr>
        <w:pStyle w:val="ListNumber"/>
        <w:keepLines w:val="1"/>
        <w:keepNext w:val="1"/>
        <w:widowControl w:val="1"/>
      </w:pPr>
      <w:r>
        <w:br/>
        <w:t>Acompañar con notas metodológicas: para indicadores más delicados (IND‑07, IND‑10), incluir siempre breve explicación de limitaciones y supuestos.</w:t>
        <w:br/>
      </w:r>
    </w:p>
    <w:p>
      <w:pPr>
        <w:pStyle w:val="ListNumber"/>
        <w:keepLines w:val="1"/>
        <w:keepNext w:val="1"/>
        <w:widowControl w:val="1"/>
      </w:pPr>
      <w:r>
        <w:br/>
        <w:t>Revisión periódica de la propia matriz: igual que los indicadores, la evaluación PRAGMATIC debería revisarse cada cierto tiempo, a la luz de:</w:t>
        <w:br/>
      </w:r>
    </w:p>
    <w:p>
      <w:pPr>
        <w:pStyle w:val="ListNumber"/>
        <w:keepLines w:val="1"/>
        <w:keepNext w:val="1"/>
        <w:widowControl w:val="1"/>
      </w:pPr>
      <w:r>
        <w:t>Mejoras en las fuentes de datos.</w:t>
      </w:r>
    </w:p>
    <w:p>
      <w:pPr>
        <w:pStyle w:val="ListNumber"/>
        <w:keepLines w:val="1"/>
        <w:keepNext w:val="1"/>
        <w:widowControl w:val="1"/>
      </w:pPr>
      <w:r>
        <w:t>Cambios normativos (NIS2, DORA, ENS, etc.).</w:t>
      </w:r>
    </w:p>
    <w:p>
      <w:pPr>
        <w:pStyle w:val="ListNumber"/>
        <w:keepLines w:val="1"/>
        <w:widowControl w:val="1"/>
      </w:pPr>
      <w:r>
        <w:t>Nueva experiencia práctica en ejercicios y gestión de incidentes.</w:t>
      </w:r>
    </w:p>
    <w:p>
      <w:r>
        <w:t>Se complementa con indicadores hermanos (por ejemplo, separar incidentes por tipología o severidad).</w:t>
      </w:r>
    </w:p>
    <w:p>
      <w:r>
        <w:rPr>
          <w:b/>
        </w:rPr>
        <w:t>Priorización de indicadores clave:</w:t>
      </w:r>
      <w:r>
        <w:t xml:space="preserve"> en informes de alto nivel, puede priorizarse la comunicación de:</w:t>
      </w:r>
    </w:p>
    <w:p>
      <w:r>
        <w:t>IND‑05, IND‑06, IND‑08, IND‑11, IND‑12, IND‑14 como «núcleo duro» de resiliencia nacional.</w:t>
      </w:r>
    </w:p>
    <w:p>
      <w:r>
        <w:rPr>
          <w:b/>
        </w:rPr>
        <w:t>Acompañar con notas metodológicas:</w:t>
      </w:r>
      <w:r>
        <w:t xml:space="preserve"> para indicadores más delicados (IND‑07, IND‑10), incluir siempre breve explicación de limitaciones y supuestos.</w:t>
      </w:r>
    </w:p>
    <w:p>
      <w:r>
        <w:rPr>
          <w:b/>
        </w:rPr>
        <w:t>Revisión periódica de la propia matriz:</w:t>
      </w:r>
      <w:r>
        <w:t xml:space="preserve"> igual que los indicadores, la evaluación PRAGMATIC debería revisarse cada cierto tiempo, a la luz de:</w:t>
      </w:r>
    </w:p>
    <w:p>
      <w:r>
        <w:t xml:space="preserve">En resumen, la matriz PRAGMATIC ayuda a que las métricas no sólo sean bonitas en la tabla, sino también </w:t>
      </w:r>
      <w:r>
        <w:rPr>
          <w:b/>
        </w:rPr>
        <w:t>útiles, honestas y sostenibles</w:t>
      </w:r>
      <w:r>
        <w:t xml:space="preserve"> en la práctica. Y evita, en la medida de lo posible, esa sensación conocida de «tenemos un dashboard precioso que no sirve para tomar ni una decisión sensata».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