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</w:t>
      </w:r>
    </w:p>
    <w:p>
      <w:r>
        <w:t>Este documento describe cómo construir, en Excel (o herramienta similar), una plantilla para:</w:t>
      </w:r>
    </w:p>
    <w:p>
      <w:pPr>
        <w:pStyle w:val="ListBullet"/>
        <w:keepLines w:val="1"/>
        <w:keepNext w:val="1"/>
        <w:widowControl w:val="1"/>
      </w:pPr>
      <w:r>
        <w:t>Calcular un Índice Global de Madurez (IGM) y Índices de Madurez por Dominio (IMD) a partir de las respuestas de la encuesta.</w:t>
      </w:r>
    </w:p>
    <w:p>
      <w:pPr>
        <w:pStyle w:val="ListBullet"/>
        <w:keepLines w:val="1"/>
        <w:widowControl w:val="1"/>
      </w:pPr>
      <w:r>
        <w:t>Estimar de forma sencilla el ROI (retorno de la inversión) de iniciativas de mejora en ciberseguridad, continuidad de negocio y ciber‑resiliencia.</w:t>
      </w:r>
    </w:p>
    <w:p>
      <w:pPr>
        <w:pStyle w:val="Heading2"/>
        <w:keepNext/>
        <w:keepLines/>
      </w:pPr>
      <w:r>
        <w:rPr>
          <w:color w:val="0066CC"/>
        </w:rPr>
        <w:t>1. Estructura general del libro de Excel</w:t>
      </w:r>
    </w:p>
    <w:p>
      <w:r>
        <w:t>Se recomiendan al menos las siguientes hojas:</w:t>
      </w:r>
    </w:p>
    <w:p>
      <w:pPr>
        <w:pStyle w:val="ListNumber"/>
        <w:keepLines w:val="1"/>
        <w:keepNext w:val="1"/>
        <w:widowControl w:val="1"/>
      </w:pPr>
      <w:r>
        <w:t>Diccionario_Preguntas</w:t>
      </w:r>
    </w:p>
    <w:p>
      <w:pPr>
        <w:pStyle w:val="ListNumber"/>
        <w:keepLines w:val="1"/>
        <w:keepNext w:val="1"/>
        <w:widowControl w:val="1"/>
      </w:pPr>
      <w:r>
        <w:t>Datos_Respuestas</w:t>
      </w:r>
    </w:p>
    <w:p>
      <w:pPr>
        <w:pStyle w:val="ListNumber"/>
        <w:keepLines w:val="1"/>
        <w:keepNext w:val="1"/>
        <w:widowControl w:val="1"/>
      </w:pPr>
      <w:r>
        <w:t>Calculos_Madurez</w:t>
      </w:r>
    </w:p>
    <w:p>
      <w:pPr>
        <w:pStyle w:val="ListNumber"/>
        <w:keepLines w:val="1"/>
        <w:keepNext w:val="1"/>
        <w:widowControl w:val="1"/>
      </w:pPr>
      <w:r>
        <w:t>ROI_Costes_Beneficios</w:t>
      </w:r>
    </w:p>
    <w:p>
      <w:pPr>
        <w:pStyle w:val="ListNumber"/>
        <w:keepLines w:val="1"/>
        <w:widowControl w:val="1"/>
      </w:pPr>
      <w:r>
        <w:t>Cuadro_Mando</w:t>
      </w:r>
    </w:p>
    <w:p>
      <w:r>
        <w:t>Puedes añadir más hojas (por ejemplo, detalle por año o por unidad organizativa) según tus necesidades.</w:t>
      </w:r>
    </w:p>
    <w:p>
      <w:pPr>
        <w:pStyle w:val="Heading2"/>
        <w:keepNext/>
        <w:keepLines/>
      </w:pPr>
      <w:r>
        <w:rPr>
          <w:color w:val="0066CC"/>
        </w:rPr>
        <w:t>2. Hoja «Diccionario_Preguntas»</w:t>
      </w:r>
    </w:p>
    <w:p>
      <w:r>
        <w:t>Contiene la definición de todas las preguntas de la encuesta y los parámetros necesarios para el cálculo de índices.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Codigo_Pregunta: por ejemplo, GOV-01, BCM-03, etc.</w:t>
      </w:r>
    </w:p>
    <w:p>
      <w:pPr>
        <w:pStyle w:val="ListBullet"/>
        <w:keepLines w:val="1"/>
        <w:keepNext w:val="1"/>
        <w:widowControl w:val="1"/>
      </w:pPr>
      <w:r>
        <w:t>Dominio: GOV, RISK, VULN, PENT, SIEM, BCM, DRP, AWARE, MET, ROI, SUP, ECO, ORG.</w:t>
      </w:r>
    </w:p>
    <w:p>
      <w:pPr>
        <w:pStyle w:val="ListBullet"/>
        <w:keepLines w:val="1"/>
        <w:keepNext w:val="1"/>
        <w:widowControl w:val="1"/>
      </w:pPr>
      <w:r>
        <w:t>Subdominio (opcional): gobierno, estrategia, análisis de riesgos, etc.</w:t>
      </w:r>
    </w:p>
    <w:p>
      <w:pPr>
        <w:pStyle w:val="ListBullet"/>
        <w:keepLines w:val="1"/>
        <w:keepNext w:val="1"/>
        <w:widowControl w:val="1"/>
      </w:pPr>
      <w:r>
        <w:t>Texto_Pregunta: enunciado resumido de la pregunta.</w:t>
      </w:r>
    </w:p>
    <w:p>
      <w:pPr>
        <w:pStyle w:val="ListBullet"/>
        <w:keepLines w:val="1"/>
        <w:keepNext w:val="1"/>
        <w:widowControl w:val="1"/>
      </w:pPr>
      <w:r>
        <w:t>Tipo_Respuesta: por ejemplo, Likert_4, Likert_5, Seleccion_Unica, Seleccion_Multiple.</w:t>
      </w:r>
    </w:p>
    <w:p>
      <w:pPr>
        <w:pStyle w:val="ListBullet"/>
        <w:keepLines w:val="1"/>
        <w:keepNext w:val="1"/>
        <w:widowControl w:val="1"/>
      </w:pPr>
      <w:r>
        <w:t>Valor_Min: valor numérico mínimo de la escala (por ejemplo, 0).</w:t>
      </w:r>
    </w:p>
    <w:p>
      <w:pPr>
        <w:pStyle w:val="ListBullet"/>
        <w:keepLines w:val="1"/>
        <w:keepNext w:val="1"/>
        <w:widowControl w:val="1"/>
      </w:pPr>
      <w:r>
        <w:t>Valor_Max: valor numérico máximo (por ejemplo, 3 para una escala de 4 niveles: a–d).</w:t>
      </w:r>
    </w:p>
    <w:p>
      <w:pPr>
        <w:pStyle w:val="ListBullet"/>
        <w:keepLines w:val="1"/>
        <w:keepNext w:val="1"/>
        <w:widowControl w:val="1"/>
      </w:pPr>
      <w:r>
        <w:t>Peso_Dominio: peso relativo de la pregunta dentro de su dominio (por ejemplo, 1 por defecto).</w:t>
      </w:r>
    </w:p>
    <w:p>
      <w:pPr>
        <w:pStyle w:val="ListBullet"/>
        <w:keepLines w:val="1"/>
        <w:widowControl w:val="1"/>
      </w:pPr>
      <w:r>
        <w:t>Peso_IGM: peso relativo de la pregunta dentro del índice global (por defecto, igual a Peso_Dominio, pero puede afinarse).</w:t>
      </w:r>
    </w:p>
    <w:p>
      <w:r>
        <w:t>Ejemplo de fila: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Codigo_Pregunta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Subdominio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Texto_Pregunta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Tipo_Respuesta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Valor_Min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Valor_Max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Peso_Dominio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Peso_IGM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BCM-03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BCM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RTO_RPO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Definición de objetivos de recuperación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Likert_4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0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1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Hoja «Datos_Respuestas»</w:t>
      </w:r>
    </w:p>
    <w:p>
      <w:r>
        <w:t>Registra las respuestas de cada organización (o unidad) a cada pregunta.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ID_Org: identificador de la organización (código anónimo si se quiere comparativa).</w:t>
      </w:r>
    </w:p>
    <w:p>
      <w:pPr>
        <w:pStyle w:val="ListBullet"/>
        <w:keepLines w:val="1"/>
        <w:keepNext w:val="1"/>
        <w:widowControl w:val="1"/>
      </w:pPr>
      <w:r>
        <w:t>Nombre_Org (opcional si se requiere anonimato).</w:t>
      </w:r>
    </w:p>
    <w:p>
      <w:pPr>
        <w:pStyle w:val="ListBullet"/>
        <w:keepLines w:val="1"/>
        <w:keepNext w:val="1"/>
        <w:widowControl w:val="1"/>
      </w:pPr>
      <w:r>
        <w:t>Sector: por ejemplo, salud, energía, administración pública, financiero, industria, etc.</w:t>
      </w:r>
    </w:p>
    <w:p>
      <w:pPr>
        <w:pStyle w:val="ListBullet"/>
        <w:keepLines w:val="1"/>
        <w:keepNext w:val="1"/>
        <w:widowControl w:val="1"/>
      </w:pPr>
      <w:r>
        <w:t>Pais_Region: por ejemplo, ES‑Nacional, ES‑CCAA, UE, etc.</w:t>
      </w:r>
    </w:p>
    <w:p>
      <w:pPr>
        <w:pStyle w:val="ListBullet"/>
        <w:keepLines w:val="1"/>
        <w:keepNext w:val="1"/>
        <w:widowControl w:val="1"/>
      </w:pPr>
      <w:r>
        <w:t>Codigo_Pregunta.</w:t>
      </w:r>
    </w:p>
    <w:p>
      <w:pPr>
        <w:pStyle w:val="ListBullet"/>
        <w:keepLines w:val="1"/>
        <w:keepNext w:val="1"/>
        <w:widowControl w:val="1"/>
      </w:pPr>
      <w:r>
        <w:t>Respuesta_Codificada: valor numérico correspondiente a la opción elegida.</w:t>
      </w:r>
    </w:p>
    <w:p>
      <w:pPr>
        <w:pStyle w:val="ListBullet"/>
        <w:keepLines w:val="1"/>
        <w:widowControl w:val="1"/>
      </w:pPr>
      <w:r>
        <w:t>Fecha_Encuesta.</w:t>
      </w:r>
    </w:p>
    <w:p>
      <w:r>
        <w:t>Ejemplo de filas: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ID_Org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Nombre_Org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Pais_Region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Codigo_Pregunta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Respuesta_Codificada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Fecha_Encuesta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ORG001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Org Salud Norte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Salud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ES‑CCAA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BCM-03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2026‑03‑15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ORG001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Org Salud Norte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Salud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ES‑CCAA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GOV-01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2026‑03‑15</w:t>
            </w:r>
          </w:p>
        </w:tc>
      </w:tr>
    </w:tbl>
    <w:p/>
    <w:p>
      <w:r>
        <w:t xml:space="preserve">Se recomienda usar </w:t>
      </w:r>
      <w:r>
        <w:rPr>
          <w:b/>
        </w:rPr>
        <w:t>validación de datos</w:t>
      </w:r>
      <w:r>
        <w:t xml:space="preserve"> para limitar las respuestas numéricas al rango permitido (</w:t>
      </w:r>
      <w:r>
        <w:rPr>
          <w:rFonts w:ascii="Courier New" w:hAnsi="Courier New"/>
          <w:sz w:val="18"/>
        </w:rPr>
        <w:t>Valor_Min</w:t>
      </w:r>
      <w:r>
        <w:t xml:space="preserve"> – </w:t>
      </w:r>
      <w:r>
        <w:rPr>
          <w:rFonts w:ascii="Courier New" w:hAnsi="Courier New"/>
          <w:sz w:val="18"/>
        </w:rPr>
        <w:t>Valor_Max</w:t>
      </w:r>
      <w:r>
        <w:t>).</w:t>
      </w:r>
    </w:p>
    <w:p>
      <w:pPr>
        <w:pStyle w:val="Heading2"/>
        <w:keepNext/>
        <w:keepLines/>
      </w:pPr>
      <w:r>
        <w:rPr>
          <w:color w:val="0066CC"/>
        </w:rPr>
        <w:t>4. Cálculo de índices de madurez</w:t>
      </w:r>
    </w:p>
    <w:p>
      <w:pPr>
        <w:pStyle w:val="Heading3"/>
        <w:keepNext/>
        <w:keepLines/>
      </w:pPr>
      <w:r>
        <w:t>4.1. Hoja «Calculos_Madurez»</w:t>
      </w:r>
    </w:p>
    <w:p>
      <w:r>
        <w:t>Esta hoja calculará:</w:t>
      </w:r>
    </w:p>
    <w:p>
      <w:pPr>
        <w:pStyle w:val="ListBullet"/>
        <w:keepLines w:val="1"/>
        <w:keepNext w:val="1"/>
        <w:widowControl w:val="1"/>
      </w:pPr>
      <w:r>
        <w:t>Índices de Madurez por Dominio (IMD) para cada organización.</w:t>
      </w:r>
    </w:p>
    <w:p>
      <w:pPr>
        <w:pStyle w:val="ListBullet"/>
        <w:keepLines w:val="1"/>
        <w:widowControl w:val="1"/>
      </w:pPr>
      <w:r>
        <w:t>Índice Global de Madurez (IGM) para cada organización.</w:t>
      </w:r>
    </w:p>
    <w:p>
      <w:r>
        <w:t>Estructura sugerida:</w:t>
      </w:r>
    </w:p>
    <w:p>
      <w:pPr>
        <w:pStyle w:val="ListBullet"/>
        <w:keepLines w:val="1"/>
        <w:keepNext w:val="1"/>
        <w:widowControl w:val="1"/>
      </w:pPr>
      <w:r>
        <w:t>Fila de encabezados:</w:t>
      </w:r>
    </w:p>
    <w:p>
      <w:pPr>
        <w:pStyle w:val="ListBullet"/>
        <w:keepLines w:val="1"/>
        <w:keepNext w:val="1"/>
        <w:widowControl w:val="1"/>
      </w:pPr>
      <w:r>
        <w:t>ID_Org</w:t>
      </w:r>
    </w:p>
    <w:p>
      <w:pPr>
        <w:pStyle w:val="ListBullet"/>
        <w:keepLines w:val="1"/>
        <w:keepNext w:val="1"/>
        <w:widowControl w:val="1"/>
      </w:pPr>
      <w:r>
        <w:t>Nombre_Org</w:t>
      </w:r>
    </w:p>
    <w:p>
      <w:pPr>
        <w:pStyle w:val="ListBullet"/>
        <w:keepLines w:val="1"/>
        <w:keepNext w:val="1"/>
        <w:widowControl w:val="1"/>
      </w:pPr>
      <w:r>
        <w:t>Sector</w:t>
      </w:r>
    </w:p>
    <w:p>
      <w:pPr>
        <w:pStyle w:val="ListBullet"/>
        <w:keepLines w:val="1"/>
        <w:keepNext w:val="1"/>
        <w:widowControl w:val="1"/>
      </w:pPr>
      <w:r>
        <w:t>Pais_Region</w:t>
      </w:r>
    </w:p>
    <w:p>
      <w:pPr>
        <w:pStyle w:val="ListBullet"/>
        <w:keepLines w:val="1"/>
        <w:keepNext w:val="1"/>
        <w:widowControl w:val="1"/>
      </w:pPr>
      <w:r>
        <w:t>IMD_GOV, IMD_RISK, IMD_VULN, IMD_PENT, IMD_SIEM, IMD_BCM, IMD_DRP, IMD_AWARE, IMD_MET, IMD_ROI, IMD_SUP, IMD_ECO</w:t>
      </w:r>
    </w:p>
    <w:p>
      <w:pPr>
        <w:pStyle w:val="ListBullet"/>
        <w:keepLines w:val="1"/>
        <w:widowControl w:val="1"/>
      </w:pPr>
      <w:r>
        <w:t>IGM_Global</w:t>
      </w:r>
    </w:p>
    <w:p>
      <w:pPr>
        <w:pStyle w:val="Heading4"/>
        <w:keepNext/>
        <w:keepLines/>
      </w:pPr>
      <w:r>
        <w:t>4.1.1. Cálculo de IMD por dominio</w:t>
      </w:r>
    </w:p>
    <w:p>
      <w:r>
        <w:t xml:space="preserve">Para un dominio dado (por ejemplo, BCM), el IMD puede calcularse como </w:t>
      </w:r>
      <w:r>
        <w:rPr>
          <w:b/>
        </w:rPr>
        <w:t>media ponderada</w:t>
      </w:r>
      <w:r>
        <w:t xml:space="preserve"> de las respuestas numéricas asociadas a las preguntas de ese dominio.</w:t>
      </w:r>
    </w:p>
    <w:p>
      <w:r>
        <w:t>Supongamos:</w:t>
      </w:r>
    </w:p>
    <w:p>
      <w:pPr>
        <w:pStyle w:val="ListBullet"/>
        <w:keepLines w:val="1"/>
        <w:keepNext w:val="1"/>
        <w:widowControl w:val="1"/>
      </w:pPr>
      <w:r>
        <w:t>Datos_Respuestas está en una tabla estructurada llamada tblRespuestas.</w:t>
      </w:r>
    </w:p>
    <w:p>
      <w:pPr>
        <w:pStyle w:val="ListBullet"/>
        <w:keepLines w:val="1"/>
        <w:widowControl w:val="1"/>
      </w:pPr>
      <w:r>
        <w:t>Diccionario_Preguntas está en una tabla llamada tblPreguntas.</w:t>
      </w:r>
    </w:p>
    <w:p>
      <w:r>
        <w:t xml:space="preserve">Para calcular el IMD_BCM de la organización en la celda, por ejemplo, </w:t>
      </w:r>
      <w:r>
        <w:rPr>
          <w:rFonts w:ascii="Courier New" w:hAnsi="Courier New"/>
          <w:sz w:val="18"/>
        </w:rPr>
        <w:t>E2</w:t>
      </w:r>
      <w:r>
        <w:t>:</w:t>
      </w:r>
    </w:p>
    <w:p>
      <w:pPr>
        <w:pStyle w:val="ListNumber"/>
        <w:keepLines w:val="1"/>
        <w:keepNext w:val="1"/>
        <w:widowControl w:val="1"/>
      </w:pPr>
      <w:r>
        <w:t>En una columna auxiliar (opcional) de tblRespuestas, puedes traer el Dominio usando BUSCARV o XLOOKUP.</w:t>
      </w:r>
    </w:p>
    <w:p>
      <w:pPr>
        <w:pStyle w:val="ListNumber"/>
        <w:keepLines w:val="1"/>
        <w:widowControl w:val="1"/>
      </w:pPr>
      <w:r>
        <w:t>En Calculos_Madurez!E2 (IMD_BCM), podrías usar algo como (en Excel moderno con SUMAR.SI.CONJUNTO):</w:t>
      </w:r>
    </w:p>
    <w:p>
      <w:r>
        <w:rPr>
          <w:rFonts w:ascii="Courier New" w:hAnsi="Courier New"/>
          <w:sz w:val="18"/>
        </w:rPr>
        <w:t>=SUMAR.SI.CONJUNTO(tblRespuestas[Respuesta_Codificada], tblRespuestas[ID_Org], $A2, tblRespuestas[Dominio], "BCM") / CONTAR.SI.CONJUNTO(tblRespuestas[ID_Org], $A2, tblRespuestas[Dominio], "BCM")</w:t>
      </w:r>
    </w:p>
    <w:p>
      <w:r>
        <w:t>Si usas pesos por pregunta (</w:t>
      </w:r>
      <w:r>
        <w:rPr>
          <w:rFonts w:ascii="Courier New" w:hAnsi="Courier New"/>
          <w:sz w:val="18"/>
        </w:rPr>
        <w:t>Peso_Dominio</w:t>
      </w:r>
      <w:r>
        <w:t xml:space="preserve">), la fórmula sería un </w:t>
      </w:r>
      <w:r>
        <w:rPr>
          <w:rFonts w:ascii="Courier New" w:hAnsi="Courier New"/>
          <w:sz w:val="18"/>
        </w:rPr>
        <w:t>SUMAPRODUCTO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>Añade a tblRespuestas una columna Peso_Dominio con un BUSCARV a tblPreguntas.</w:t>
      </w:r>
    </w:p>
    <w:p>
      <w:pPr>
        <w:pStyle w:val="ListBullet"/>
        <w:keepLines w:val="1"/>
        <w:widowControl w:val="1"/>
      </w:pPr>
      <w:r>
        <w:t>Fórmula tipo:</w:t>
      </w:r>
    </w:p>
    <w:p>
      <w:r>
        <w:rPr>
          <w:rFonts w:ascii="Courier New" w:hAnsi="Courier New"/>
          <w:sz w:val="18"/>
        </w:rPr>
        <w:t>=SUMAPRODUCTO((tblRespuestas[ID_Org]=$A2)*(tblRespuestas[Dominio]="BCM")*tblRespuestas[Respuesta_Codificada]*tblRespuestas[Peso_Dominio]) / SUMAPRODUCTO((tblRespuestas[ID_Org]=$A2)*(tblRespuestas[Dominio]="BCM")*tblRespuestas[Peso_Dominio])</w:t>
      </w:r>
    </w:p>
    <w:p>
      <w:pPr>
        <w:pStyle w:val="Heading4"/>
        <w:keepNext/>
        <w:keepLines/>
      </w:pPr>
      <w:r>
        <w:t>4.1.2. Cálculo del IGM Global</w:t>
      </w:r>
    </w:p>
    <w:p>
      <w:r>
        <w:t xml:space="preserve">El IGM puede definirse como una media ponderada de los IMD o directamente de todas las respuestas considerando </w:t>
      </w:r>
      <w:r>
        <w:rPr>
          <w:rFonts w:ascii="Courier New" w:hAnsi="Courier New"/>
          <w:sz w:val="18"/>
        </w:rPr>
        <w:t>Peso_IGM</w:t>
      </w:r>
      <w:r>
        <w:t>.</w:t>
      </w:r>
    </w:p>
    <w:p>
      <w:r>
        <w:rPr>
          <w:b/>
        </w:rPr>
        <w:t>Opción A – media de dominios:</w:t>
      </w:r>
    </w:p>
    <w:p>
      <w:r>
        <w:rPr>
          <w:rFonts w:ascii="Courier New" w:hAnsi="Courier New"/>
          <w:sz w:val="18"/>
        </w:rPr>
        <w:t>=PROMEDIO(E2:P2)</w:t>
      </w:r>
      <w:r/>
      <w:r>
        <w:br/>
        <w:t xml:space="preserve">(suponiendo que </w:t>
      </w:r>
      <w:r>
        <w:rPr>
          <w:rFonts w:ascii="Courier New" w:hAnsi="Courier New"/>
          <w:sz w:val="18"/>
        </w:rPr>
        <w:t>E2:P2</w:t>
      </w:r>
      <w:r>
        <w:t xml:space="preserve"> contienen los IMD de todos los dominios para la organización)</w:t>
      </w:r>
    </w:p>
    <w:p>
      <w:r>
        <w:rPr>
          <w:b/>
        </w:rPr>
        <w:t>Opción B – media ponderada directa por pregunta (más precisa):</w:t>
      </w:r>
    </w:p>
    <w:p>
      <w:r>
        <w:t xml:space="preserve">En una celda de </w:t>
      </w:r>
      <w:r>
        <w:rPr>
          <w:rFonts w:ascii="Courier New" w:hAnsi="Courier New"/>
          <w:sz w:val="18"/>
        </w:rPr>
        <w:t>Calculos_Madurez</w:t>
      </w:r>
      <w:r>
        <w:t xml:space="preserve"> para cada organización (por ejemplo, </w:t>
      </w:r>
      <w:r>
        <w:rPr>
          <w:rFonts w:ascii="Courier New" w:hAnsi="Courier New"/>
          <w:sz w:val="18"/>
        </w:rPr>
        <w:t>Q2</w:t>
      </w:r>
      <w:r>
        <w:t>):</w:t>
      </w:r>
    </w:p>
    <w:p>
      <w:r>
        <w:rPr>
          <w:rFonts w:ascii="Courier New" w:hAnsi="Courier New"/>
          <w:sz w:val="18"/>
        </w:rPr>
        <w:t>=SUMAPRODUCTO((tblRespuestas[ID_Org]=$A2)*tblRespuestas[Respuesta_Codificada]*tblRespuestas[Peso_IGM]) / SUMAPRODUCTO((tblRespuestas[ID_Org]=$A2)*tblRespuestas[Peso_IGM])</w:t>
      </w:r>
    </w:p>
    <w:p>
      <w:r>
        <w:t>Valores típicos de IGM tras normalizar a 0–3 pueden expresarse en 0–100 mediante:</w:t>
      </w:r>
    </w:p>
    <w:p>
      <w:r>
        <w:rPr>
          <w:rFonts w:ascii="Courier New" w:hAnsi="Courier New"/>
          <w:sz w:val="18"/>
        </w:rPr>
        <w:t>IGM_Normalizado = IGM * (100 / Valor_Max)</w:t>
      </w:r>
      <w:r/>
      <w:r>
        <w:br/>
        <w:t xml:space="preserve">(por ejemplo, </w:t>
      </w:r>
      <w:r>
        <w:rPr>
          <w:rFonts w:ascii="Courier New" w:hAnsi="Courier New"/>
          <w:sz w:val="18"/>
        </w:rPr>
        <w:t>=*celda_IGM*100/3</w:t>
      </w:r>
      <w:r>
        <w:t xml:space="preserve"> para escala 0–3).</w:t>
      </w:r>
    </w:p>
    <w:p>
      <w:pPr>
        <w:pStyle w:val="Heading2"/>
        <w:keepNext/>
        <w:keepLines/>
      </w:pPr>
      <w:r>
        <w:rPr>
          <w:color w:val="0066CC"/>
        </w:rPr>
        <w:t>5. Modelado de ROI en la hoja «ROI_Costes_Beneficios»</w:t>
      </w:r>
    </w:p>
    <w:p>
      <w:r>
        <w:t>La idea es disponer de una hoja sencilla para comparar:</w:t>
      </w:r>
    </w:p>
    <w:p>
      <w:pPr>
        <w:pStyle w:val="ListBullet"/>
        <w:keepLines w:val="1"/>
        <w:keepNext w:val="1"/>
        <w:widowControl w:val="1"/>
      </w:pPr>
      <w:r>
        <w:t>Costes de iniciativas de mejora (inversiones, OPEX adicional).</w:t>
      </w:r>
    </w:p>
    <w:p>
      <w:pPr>
        <w:pStyle w:val="ListBullet"/>
        <w:keepLines w:val="1"/>
        <w:widowControl w:val="1"/>
      </w:pPr>
      <w:r>
        <w:t>Beneficios esperados (pérdidas evitadas, reducción de downtime, mejora de IGM).</w:t>
      </w:r>
    </w:p>
    <w:p>
      <w:pPr>
        <w:pStyle w:val="Heading3"/>
        <w:keepNext/>
        <w:keepLines/>
      </w:pPr>
      <w:r>
        <w:t>5.1. Estructura recomendada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ID_Iniciativa.</w:t>
      </w:r>
    </w:p>
    <w:p>
      <w:pPr>
        <w:pStyle w:val="ListBullet"/>
        <w:keepLines w:val="1"/>
        <w:keepNext w:val="1"/>
        <w:widowControl w:val="1"/>
      </w:pPr>
      <w:r>
        <w:t>Nombre_Iniciativa.</w:t>
      </w:r>
    </w:p>
    <w:p>
      <w:pPr>
        <w:pStyle w:val="ListBullet"/>
        <w:keepLines w:val="1"/>
        <w:keepNext w:val="1"/>
        <w:widowControl w:val="1"/>
      </w:pPr>
      <w:r>
        <w:t>Dominio_Principal (BCM, SIEM, VULN, etc.).</w:t>
      </w:r>
    </w:p>
    <w:p>
      <w:pPr>
        <w:pStyle w:val="ListBullet"/>
        <w:keepLines w:val="1"/>
        <w:keepNext w:val="1"/>
        <w:widowControl w:val="1"/>
      </w:pPr>
      <w:r>
        <w:t>Descripcion_Breve.</w:t>
      </w:r>
    </w:p>
    <w:p>
      <w:pPr>
        <w:pStyle w:val="ListBullet"/>
        <w:keepLines w:val="1"/>
        <w:keepNext w:val="1"/>
        <w:widowControl w:val="1"/>
      </w:pPr>
      <w:r>
        <w:t>Coste_Anual (moneda local).</w:t>
      </w:r>
    </w:p>
    <w:p>
      <w:pPr>
        <w:pStyle w:val="ListBullet"/>
        <w:keepLines w:val="1"/>
        <w:keepNext w:val="1"/>
        <w:widowControl w:val="1"/>
      </w:pPr>
      <w:r>
        <w:t>Coste_Inicial (si aplica, CAPEX).</w:t>
      </w:r>
    </w:p>
    <w:p>
      <w:pPr>
        <w:pStyle w:val="ListBullet"/>
        <w:keepLines w:val="1"/>
        <w:keepNext w:val="1"/>
        <w:widowControl w:val="1"/>
      </w:pPr>
      <w:r>
        <w:t>Horizonte_Anios.</w:t>
      </w:r>
    </w:p>
    <w:p>
      <w:pPr>
        <w:pStyle w:val="ListBullet"/>
        <w:keepLines w:val="1"/>
        <w:keepNext w:val="1"/>
        <w:widowControl w:val="1"/>
      </w:pPr>
      <w:r>
        <w:t>Perdida_Anual_Estimada_Sin_Iniciativa (pérdida económica media esperada sin implantar la mejora).</w:t>
      </w:r>
    </w:p>
    <w:p>
      <w:pPr>
        <w:pStyle w:val="ListBullet"/>
        <w:keepLines w:val="1"/>
        <w:keepNext w:val="1"/>
        <w:widowControl w:val="1"/>
      </w:pPr>
      <w:r>
        <w:t>Reduccion_%_Perdida (porcentaje de reducción de dicha pérdida esperada gracias a la iniciativa).</w:t>
      </w:r>
    </w:p>
    <w:p>
      <w:pPr>
        <w:pStyle w:val="ListBullet"/>
        <w:keepLines w:val="1"/>
        <w:keepNext w:val="1"/>
        <w:widowControl w:val="1"/>
      </w:pPr>
      <w:r>
        <w:t>Beneficio_Anual_Estimado (campo calculado).</w:t>
      </w:r>
    </w:p>
    <w:p>
      <w:pPr>
        <w:pStyle w:val="ListBullet"/>
        <w:keepLines w:val="1"/>
        <w:widowControl w:val="1"/>
      </w:pPr>
      <w:r>
        <w:t>ROI_Total (campo calculado).</w:t>
      </w:r>
    </w:p>
    <w:p>
      <w:pPr>
        <w:pStyle w:val="Heading3"/>
        <w:keepNext/>
        <w:keepLines/>
      </w:pPr>
      <w:r>
        <w:t>5.2. Fórmulas básicas</w:t>
      </w:r>
    </w:p>
    <w:p>
      <w:pPr>
        <w:pStyle w:val="ListBullet"/>
        <w:keepLines w:val="1"/>
        <w:widowControl w:val="1"/>
      </w:pPr>
      <w:r>
        <w:t>Beneficio_Anual_Estimado:</w:t>
      </w:r>
    </w:p>
    <w:p>
      <w:r>
        <w:rPr>
          <w:rFonts w:ascii="Courier New" w:hAnsi="Courier New"/>
          <w:sz w:val="18"/>
        </w:rPr>
        <w:t>=Perdida_Anual_Estimada_Sin_Iniciativa * Reduccion_%_Perdida</w:t>
      </w:r>
    </w:p>
    <w:p>
      <w:pPr>
        <w:pStyle w:val="ListBullet"/>
        <w:keepLines w:val="1"/>
        <w:widowControl w:val="1"/>
      </w:pPr>
      <w:r>
        <w:t>Coste_Total (en una columna auxiliar):</w:t>
      </w:r>
    </w:p>
    <w:p>
      <w:r>
        <w:rPr>
          <w:rFonts w:ascii="Courier New" w:hAnsi="Courier New"/>
          <w:sz w:val="18"/>
        </w:rPr>
        <w:t>=Coste_Inicial + Coste_Anual * Horizonte_Anios</w:t>
      </w:r>
    </w:p>
    <w:p>
      <w:pPr>
        <w:pStyle w:val="ListBullet"/>
        <w:keepLines w:val="1"/>
        <w:widowControl w:val="1"/>
      </w:pPr>
      <w:r>
        <w:t xml:space="preserve">Beneficio_Total:  </w:t>
      </w:r>
    </w:p>
    <w:p>
      <w:r>
        <w:rPr>
          <w:rFonts w:ascii="Courier New" w:hAnsi="Courier New"/>
          <w:sz w:val="18"/>
        </w:rPr>
        <w:t>=Beneficio_Anual_Estimado * Horizonte_Anios</w:t>
      </w:r>
    </w:p>
    <w:p>
      <w:pPr>
        <w:pStyle w:val="ListBullet"/>
        <w:keepLines w:val="1"/>
        <w:widowControl w:val="1"/>
      </w:pPr>
      <w:r>
        <w:t>ROI_Total:</w:t>
      </w:r>
    </w:p>
    <w:p>
      <w:r>
        <w:rPr>
          <w:rFonts w:ascii="Courier New" w:hAnsi="Courier New"/>
          <w:sz w:val="18"/>
        </w:rPr>
        <w:t>=(Beneficio_Total - Coste_Total) / Coste_Total</w:t>
      </w:r>
    </w:p>
    <w:p>
      <w:r>
        <w:t xml:space="preserve">Puedes expresar el ROI en porcentaje formateando la celda como </w:t>
      </w:r>
      <w:r>
        <w:rPr>
          <w:rFonts w:ascii="Courier New" w:hAnsi="Courier New"/>
          <w:sz w:val="18"/>
        </w:rPr>
        <w:t>%</w:t>
      </w:r>
      <w:r>
        <w:t>.</w:t>
      </w:r>
    </w:p>
    <w:p>
      <w:pPr>
        <w:pStyle w:val="Heading3"/>
        <w:keepNext/>
        <w:keepLines/>
      </w:pPr>
      <w:r>
        <w:t>5.3. Relación con los índices de madurez</w:t>
      </w:r>
    </w:p>
    <w:p>
      <w:r>
        <w:t>Opcionalmente, se puede añadir una columna:</w:t>
      </w:r>
    </w:p>
    <w:p>
      <w:pPr>
        <w:pStyle w:val="ListBullet"/>
        <w:keepLines w:val="1"/>
        <w:widowControl w:val="1"/>
      </w:pPr>
      <w:r>
        <w:t>Incremento_Esperado_IMD (por ejemplo, +0,3 en IMD_BCM).</w:t>
      </w:r>
    </w:p>
    <w:p>
      <w:r>
        <w:t xml:space="preserve">Y usar esta información para priorizar iniciativas no sólo por ROI económico, sino también por </w:t>
      </w:r>
      <w:r>
        <w:rPr>
          <w:b/>
        </w:rPr>
        <w:t>impacto en madurez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6. Hoja «Cuadro_Mando»</w:t>
      </w:r>
    </w:p>
    <w:p>
      <w:r>
        <w:t>Esta hoja es la cara amable del modelo: gráficos y tablas resumidas para consumo ejecutivo.</w:t>
      </w:r>
    </w:p>
    <w:p>
      <w:r>
        <w:t>Elementos recomendados:</w:t>
      </w:r>
    </w:p>
    <w:p>
      <w:pPr>
        <w:pStyle w:val="ListNumber"/>
        <w:keepLines w:val="1"/>
        <w:keepNext w:val="1"/>
        <w:widowControl w:val="1"/>
      </w:pPr>
      <w:r>
        <w:t>Tabla resumen por organización:</w:t>
      </w:r>
    </w:p>
    <w:p>
      <w:pPr>
        <w:pStyle w:val="ListNumber"/>
        <w:keepLines w:val="1"/>
        <w:keepNext w:val="1"/>
        <w:widowControl w:val="1"/>
      </w:pPr>
      <w:r>
        <w:br/>
        <w:t>ID_Org, Nombre_Org, Sector, IGM_Global y principales IMD.</w:t>
        <w:br/>
      </w:r>
    </w:p>
    <w:p>
      <w:pPr>
        <w:pStyle w:val="ListNumber"/>
        <w:keepLines w:val="1"/>
        <w:keepNext w:val="1"/>
        <w:widowControl w:val="1"/>
      </w:pPr>
      <w:r>
        <w:br/>
        <w:t>Gráficos de radar (uno por organización o comparativos) mostrando IMD por dominio.</w:t>
        <w:br/>
      </w:r>
    </w:p>
    <w:p>
      <w:pPr>
        <w:pStyle w:val="ListNumber"/>
        <w:keepLines w:val="1"/>
        <w:keepNext w:val="1"/>
        <w:widowControl w:val="1"/>
      </w:pPr>
      <w:r>
        <w:br/>
        <w:t>Gráficos de barras comparando:</w:t>
        <w:br/>
      </w:r>
    </w:p>
    <w:p>
      <w:pPr>
        <w:pStyle w:val="ListNumber"/>
        <w:keepLines w:val="1"/>
        <w:keepNext w:val="1"/>
        <w:widowControl w:val="1"/>
      </w:pPr>
      <w:r>
        <w:t>IGM por sector.</w:t>
      </w:r>
    </w:p>
    <w:p>
      <w:pPr>
        <w:pStyle w:val="ListNumber"/>
        <w:keepLines w:val="1"/>
        <w:keepNext w:val="1"/>
        <w:widowControl w:val="1"/>
      </w:pPr>
      <w:r>
        <w:br/>
        <w:t>IMD por dominio entre organizaciones.</w:t>
        <w:br/>
      </w:r>
    </w:p>
    <w:p>
      <w:pPr>
        <w:pStyle w:val="ListNumber"/>
        <w:keepLines w:val="1"/>
        <w:keepNext w:val="1"/>
        <w:widowControl w:val="1"/>
      </w:pPr>
      <w:r>
        <w:br/>
        <w:t>Semáforos de madurez:</w:t>
        <w:br/>
      </w:r>
    </w:p>
    <w:p>
      <w:pPr>
        <w:pStyle w:val="ListNumber"/>
        <w:keepLines w:val="1"/>
        <w:keepNext w:val="1"/>
        <w:widowControl w:val="1"/>
      </w:pPr>
      <w:r>
        <w:br/>
        <w:t>Definir umbrales (por ejemplo, 0–1 rojo, 1–2 ámbar, 2–3 verde) y usar formato condicional para colorear celdas.</w:t>
        <w:br/>
      </w:r>
    </w:p>
    <w:p>
      <w:pPr>
        <w:pStyle w:val="ListNumber"/>
        <w:keepLines w:val="1"/>
        <w:widowControl w:val="1"/>
      </w:pPr>
      <w:r>
        <w:br/>
        <w:t>Listado de iniciativas priorizadas (tomadas de ROI_Costes_Beneficios) ordenadas por ROI, impacto en madurez o riesgo cubierto.</w:t>
        <w:br/>
      </w:r>
    </w:p>
    <w:p>
      <w:r>
        <w:t>ID_Org, Nombre_Org, Sector, IGM_Global y principales IMD.</w:t>
      </w:r>
    </w:p>
    <w:p>
      <w:r>
        <w:rPr>
          <w:b/>
        </w:rPr>
        <w:t>Gráficos de radar</w:t>
      </w:r>
      <w:r>
        <w:t xml:space="preserve"> (uno por organización o comparativos) mostrando IMD por dominio.</w:t>
      </w:r>
    </w:p>
    <w:p>
      <w:r>
        <w:rPr>
          <w:b/>
        </w:rPr>
        <w:t>Gráficos de barras</w:t>
      </w:r>
      <w:r>
        <w:t xml:space="preserve"> comparando:</w:t>
      </w:r>
    </w:p>
    <w:p>
      <w:r>
        <w:t>IMD por dominio entre organizaciones.</w:t>
      </w:r>
    </w:p>
    <w:p>
      <w:r>
        <w:rPr>
          <w:b/>
        </w:rPr>
        <w:t>Semáforos de madurez</w:t>
      </w:r>
      <w:r>
        <w:t>:</w:t>
      </w:r>
    </w:p>
    <w:p>
      <w:r>
        <w:t>Definir umbrales (por ejemplo, 0–1 rojo, 1–2 ámbar, 2–3 verde) y usar formato condicional para colorear celdas.</w:t>
      </w:r>
    </w:p>
    <w:p>
      <w:r>
        <w:rPr>
          <w:b/>
        </w:rPr>
        <w:t>Listado de iniciativas priorizadas</w:t>
      </w:r>
      <w:r>
        <w:t xml:space="preserve"> (tomadas de </w:t>
      </w:r>
      <w:r>
        <w:rPr>
          <w:rFonts w:ascii="Courier New" w:hAnsi="Courier New"/>
          <w:sz w:val="18"/>
        </w:rPr>
        <w:t>ROI_Costes_Beneficios</w:t>
      </w:r>
      <w:r>
        <w:t>) ordenadas por ROI, impacto en madurez o riesgo cubierto.</w:t>
      </w:r>
    </w:p>
    <w:p>
      <w:pPr>
        <w:pStyle w:val="Heading2"/>
        <w:keepNext/>
        <w:keepLines/>
      </w:pPr>
      <w:r>
        <w:rPr>
          <w:color w:val="0066CC"/>
        </w:rPr>
        <w:t>7. Consejos prácticos</w:t>
      </w:r>
    </w:p>
    <w:p>
      <w:pPr>
        <w:pStyle w:val="ListBullet"/>
        <w:keepLines w:val="1"/>
        <w:keepNext w:val="1"/>
        <w:widowControl w:val="1"/>
      </w:pPr>
      <w:r>
        <w:t>Empieza simple: escala de 0–3, pesos iguales y unas pocas iniciativas en la hoja de ROI. Podrás sofisticar el modelo más adelante.</w:t>
      </w:r>
    </w:p>
    <w:p>
      <w:pPr>
        <w:pStyle w:val="ListBullet"/>
        <w:keepLines w:val="1"/>
        <w:keepNext w:val="1"/>
        <w:widowControl w:val="1"/>
      </w:pPr>
      <w:r>
        <w:t>Documenta en comentarios de celda las asunciones utilizadas (por ejemplo, cómo se ha estimado la pérdida anual esperada).</w:t>
      </w:r>
    </w:p>
    <w:p>
      <w:pPr>
        <w:pStyle w:val="ListBullet"/>
        <w:keepLines w:val="1"/>
        <w:widowControl w:val="1"/>
      </w:pPr>
      <w:r>
        <w:t>Revisa de forma conjunta las salidas del modelo con los responsables de riesgos, ciberseguridad y finanzas para validar que los resultados «cuadran con la realidad».</w:t>
      </w:r>
    </w:p>
    <w:p>
      <w:r>
        <w:t xml:space="preserve">Con esta plantilla tendrás una base sólida para </w:t>
      </w:r>
      <w:r>
        <w:rPr>
          <w:b/>
        </w:rPr>
        <w:t>cuantificar la madurez</w:t>
      </w:r>
      <w:r>
        <w:t xml:space="preserve"> (IGM/IMD) y </w:t>
      </w:r>
      <w:r>
        <w:rPr>
          <w:b/>
        </w:rPr>
        <w:t>conectar las decisiones de inversión con su retorno esperado</w:t>
      </w:r>
      <w:r>
        <w:t>, tanto en términos económicos como de resiliencia.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