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nacional y ROI de programas de resiliencia</w:t>
      </w:r>
    </w:p>
    <w:p>
      <w:r>
        <w:t xml:space="preserve">Esta plantilla conceptual describe cómo construir, en Excel (o herramienta equivalente), un </w:t>
      </w:r>
      <w:r>
        <w:rPr>
          <w:b/>
        </w:rPr>
        <w:t>modelo de indicadores nacionales de BCM/ciber‑resiliencia</w:t>
      </w:r>
      <w:r>
        <w:t xml:space="preserve"> que permita:</w:t>
      </w:r>
    </w:p>
    <w:p>
      <w:pPr>
        <w:pStyle w:val="ListBullet"/>
        <w:keepLines w:val="1"/>
        <w:keepNext w:val="1"/>
        <w:widowControl w:val="1"/>
      </w:pPr>
      <w:r>
        <w:t>Calcular un Índice Global de Madurez/Resiliencia (IGM) del país o territorio.</w:t>
      </w:r>
    </w:p>
    <w:p>
      <w:pPr>
        <w:pStyle w:val="ListBullet"/>
        <w:keepLines w:val="1"/>
        <w:keepNext w:val="1"/>
        <w:widowControl w:val="1"/>
      </w:pPr>
      <w:r>
        <w:t>Calcular Índices por Dimensión (ID) (gobernanza, capacidades, rendimiento, impacto, ecosistema).</w:t>
      </w:r>
    </w:p>
    <w:p>
      <w:pPr>
        <w:pStyle w:val="ListBullet"/>
        <w:keepLines w:val="1"/>
        <w:widowControl w:val="1"/>
      </w:pPr>
      <w:r>
        <w:t>Relacionar estos índices con un análisis básico de ROI de programas o iniciativas nacionales.</w:t>
      </w:r>
    </w:p>
    <w:p>
      <w:r>
        <w:t>Los indicadores base son IND‑01 a IND‑14, definidos en el marco GQM.</w:t>
      </w:r>
    </w:p>
    <w:p>
      <w:pPr>
        <w:pStyle w:val="Heading2"/>
        <w:keepNext/>
        <w:keepLines/>
      </w:pPr>
      <w:r>
        <w:rPr>
          <w:color w:val="0066CC"/>
        </w:rPr>
        <w:t>1. Estructura propuesta del libro</w:t>
      </w:r>
    </w:p>
    <w:p>
      <w:r>
        <w:t>Hojas recomendadas:</w:t>
      </w:r>
    </w:p>
    <w:p>
      <w:pPr>
        <w:pStyle w:val="ListNumber"/>
        <w:keepLines w:val="1"/>
        <w:keepNext w:val="1"/>
        <w:widowControl w:val="1"/>
      </w:pPr>
      <w:r>
        <w:t>Catalogo_Indicadores</w:t>
      </w:r>
    </w:p>
    <w:p>
      <w:pPr>
        <w:pStyle w:val="ListNumber"/>
        <w:keepLines w:val="1"/>
        <w:keepNext w:val="1"/>
        <w:widowControl w:val="1"/>
      </w:pPr>
      <w:r>
        <w:t>Datos_Anuales</w:t>
      </w:r>
    </w:p>
    <w:p>
      <w:pPr>
        <w:pStyle w:val="ListNumber"/>
        <w:keepLines w:val="1"/>
        <w:keepNext w:val="1"/>
        <w:widowControl w:val="1"/>
      </w:pPr>
      <w:r>
        <w:t>Calculos_Indices</w:t>
      </w:r>
    </w:p>
    <w:p>
      <w:pPr>
        <w:pStyle w:val="ListNumber"/>
        <w:keepLines w:val="1"/>
        <w:keepNext w:val="1"/>
        <w:widowControl w:val="1"/>
      </w:pPr>
      <w:r>
        <w:t>ROI_Programas</w:t>
      </w:r>
    </w:p>
    <w:p>
      <w:pPr>
        <w:pStyle w:val="ListNumber"/>
        <w:keepLines w:val="1"/>
        <w:widowControl w:val="1"/>
      </w:pPr>
      <w:r>
        <w:t>Cuadro_Mando_Nacional</w:t>
      </w:r>
    </w:p>
    <w:p>
      <w:r>
        <w:t>Se pueden añadir hojas adicionales (por ejemplo, detalle por sector o CCAA) según necesidades.</w:t>
      </w:r>
    </w:p>
    <w:p>
      <w:pPr>
        <w:pStyle w:val="Heading2"/>
        <w:keepNext/>
        <w:keepLines/>
      </w:pPr>
      <w:r>
        <w:rPr>
          <w:color w:val="0066CC"/>
        </w:rPr>
        <w:t>2. Hoja «Catalogo_Indicadores»</w:t>
      </w:r>
    </w:p>
    <w:p>
      <w:r>
        <w:t>Contiene la definición de cada indicador y su pertenencia a dimensiones de resiliencia.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Codigo_IND: IND-01, IND-02, …, IND-14.</w:t>
      </w:r>
    </w:p>
    <w:p>
      <w:pPr>
        <w:pStyle w:val="ListBullet"/>
        <w:keepLines w:val="1"/>
        <w:keepNext w:val="1"/>
        <w:widowControl w:val="1"/>
      </w:pPr>
      <w:r>
        <w:t>Nombre_Corto: título resumido del indicador.</w:t>
      </w:r>
    </w:p>
    <w:p>
      <w:pPr>
        <w:pStyle w:val="ListBullet"/>
        <w:keepLines w:val="1"/>
        <w:keepNext w:val="1"/>
        <w:widowControl w:val="1"/>
      </w:pPr>
      <w:r>
        <w:t>Descripcion: descripción algo más detallada.</w:t>
      </w:r>
    </w:p>
    <w:p>
      <w:pPr>
        <w:pStyle w:val="ListBullet"/>
        <w:keepLines w:val="1"/>
        <w:keepNext w:val="1"/>
        <w:widowControl w:val="1"/>
      </w:pPr>
      <w:r>
        <w:t>Dimension: GOV (gobernanza), CAP (capacidades), REND (rendimiento), IMP (impacto), ECO (ecosistema/cultura).</w:t>
      </w:r>
    </w:p>
    <w:p>
      <w:pPr>
        <w:pStyle w:val="ListBullet"/>
        <w:keepLines w:val="1"/>
        <w:keepNext w:val="1"/>
        <w:widowControl w:val="1"/>
      </w:pPr>
      <w:r>
        <w:t>Fuente_Principal: organismo responsable del dato.</w:t>
      </w:r>
    </w:p>
    <w:p>
      <w:pPr>
        <w:pStyle w:val="ListBullet"/>
        <w:keepLines w:val="1"/>
        <w:keepNext w:val="1"/>
        <w:widowControl w:val="1"/>
      </w:pPr>
      <w:r>
        <w:t>Unidad: %, días, nº, posición, índice, etc.</w:t>
      </w:r>
    </w:p>
    <w:p>
      <w:pPr>
        <w:pStyle w:val="ListBullet"/>
        <w:keepLines w:val="1"/>
        <w:keepNext w:val="1"/>
        <w:widowControl w:val="1"/>
      </w:pPr>
      <w:r>
        <w:t>Escala_Referencia: rango esperado (por ejemplo, 0–100, 0–10, «Tier 1–5»…).</w:t>
      </w:r>
    </w:p>
    <w:p>
      <w:pPr>
        <w:pStyle w:val="ListBullet"/>
        <w:keepLines w:val="1"/>
        <w:keepNext w:val="1"/>
        <w:widowControl w:val="1"/>
      </w:pPr>
      <w:r>
        <w:t>Sentido: + si más es mejor, - si menos es mejor.</w:t>
      </w:r>
    </w:p>
    <w:p>
      <w:pPr>
        <w:pStyle w:val="ListBullet"/>
        <w:keepLines w:val="1"/>
        <w:keepNext w:val="1"/>
        <w:widowControl w:val="1"/>
      </w:pPr>
      <w:r>
        <w:t>Peso_Dimension: peso del indicador dentro de su dimensión.</w:t>
      </w:r>
    </w:p>
    <w:p>
      <w:pPr>
        <w:pStyle w:val="ListBullet"/>
        <w:keepLines w:val="1"/>
        <w:widowControl w:val="1"/>
      </w:pPr>
      <w:r>
        <w:t>Peso_IGM: peso del indicador dentro del índice global.</w:t>
      </w:r>
    </w:p>
    <w:p>
      <w:r>
        <w:t>Ejemplo de filas: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Codigo_IND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Nombre_Corto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Fuente_Principal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Sentido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Peso_Dimension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Peso_IGM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IND-01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nacional vigente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Presidencia / DSN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Binario (0/1)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+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IND-05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OSE con BCP probado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Autoridades NIS2 sectoriales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+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IND-08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MTTR servicios esenciales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REND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Reguladores sectoriales / CERTs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Horas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4</w:t>
            </w:r>
          </w:p>
        </w:tc>
      </w:tr>
    </w:tbl>
    <w:p/>
    <w:p>
      <w:r>
        <w:t xml:space="preserve">Consejo: asignar pesos más altos a indicadores estructuralmente más relevantes (por ejemplo, IND‑05, IND‑06, IND‑08, IND‑11, IND‑14) y mantener suma de pesos por dimensión y global normalizada (por ejemplo, suma de </w:t>
      </w:r>
      <w:r>
        <w:rPr>
          <w:rFonts w:ascii="Courier New" w:hAnsi="Courier New"/>
          <w:sz w:val="18"/>
        </w:rPr>
        <w:t>Peso_IGM</w:t>
      </w:r>
      <w:r>
        <w:t xml:space="preserve"> = 100).</w:t>
      </w:r>
    </w:p>
    <w:p>
      <w:pPr>
        <w:pStyle w:val="Heading2"/>
        <w:keepNext/>
        <w:keepLines/>
      </w:pPr>
      <w:r>
        <w:rPr>
          <w:color w:val="0066CC"/>
        </w:rPr>
        <w:t>3. Hoja «Datos_Anuales»</w:t>
      </w:r>
    </w:p>
    <w:p>
      <w:r>
        <w:t>Recoge los valores de cada indicador por año, y opcionalmente por ámbito territorial (nacional, CCAA) o sector.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>Anio.</w:t>
      </w:r>
    </w:p>
    <w:p>
      <w:pPr>
        <w:pStyle w:val="ListBullet"/>
        <w:keepLines w:val="1"/>
        <w:keepNext w:val="1"/>
        <w:widowControl w:val="1"/>
      </w:pPr>
      <w:r>
        <w:t>Ambito (por ejemplo, ES‑Nacional, ES‑CCAA‑X, u otro código territorial).</w:t>
      </w:r>
    </w:p>
    <w:p>
      <w:pPr>
        <w:pStyle w:val="ListBullet"/>
        <w:keepLines w:val="1"/>
        <w:keepNext w:val="1"/>
        <w:widowControl w:val="1"/>
      </w:pPr>
      <w:r>
        <w:t>Codigo_IND.</w:t>
      </w:r>
    </w:p>
    <w:p>
      <w:pPr>
        <w:pStyle w:val="ListBullet"/>
        <w:keepLines w:val="1"/>
        <w:widowControl w:val="1"/>
      </w:pPr>
      <w:r>
        <w:t>Valor_Bruto (valor numérico o codificado del indicador).</w:t>
      </w:r>
    </w:p>
    <w:p>
      <w:r>
        <w:t>Columnas opcionales:</w:t>
      </w:r>
    </w:p>
    <w:p>
      <w:pPr>
        <w:pStyle w:val="ListBullet"/>
        <w:keepLines w:val="1"/>
        <w:keepNext w:val="1"/>
        <w:widowControl w:val="1"/>
      </w:pPr>
      <w:r>
        <w:t>Fuente_Detalle (enlace o referencia al informe que aporta el dato).</w:t>
      </w:r>
    </w:p>
    <w:p>
      <w:pPr>
        <w:pStyle w:val="ListBullet"/>
        <w:keepLines w:val="1"/>
        <w:widowControl w:val="1"/>
      </w:pPr>
      <w:r>
        <w:t>Calidad_Dato (escala 1–3 o A/B/C para señalar confiabilidad).</w:t>
      </w:r>
    </w:p>
    <w:p>
      <w: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Ambito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Codigo_IND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Valor_Bruto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ES-Nacional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IND-05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68,5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ES-Nacional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IND-08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5,2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ES-Nacional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IND-13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420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Hoja «Calculos_Indices»</w:t>
      </w:r>
    </w:p>
    <w:p>
      <w:r>
        <w:t xml:space="preserve">Esta hoja transforma los valores brutos en </w:t>
      </w:r>
      <w:r>
        <w:rPr>
          <w:b/>
        </w:rPr>
        <w:t>valores normalizados</w:t>
      </w:r>
      <w:r>
        <w:t xml:space="preserve"> y calcula:</w:t>
      </w:r>
    </w:p>
    <w:p>
      <w:pPr>
        <w:pStyle w:val="ListBullet"/>
        <w:keepLines w:val="1"/>
        <w:keepNext w:val="1"/>
        <w:widowControl w:val="1"/>
      </w:pPr>
      <w:r>
        <w:t>Índices por dimensión (ID_GOV, ID_CAP, ID_REND, ID_IMP, ID_ECO).</w:t>
      </w:r>
    </w:p>
    <w:p>
      <w:pPr>
        <w:pStyle w:val="ListBullet"/>
        <w:keepLines w:val="1"/>
        <w:widowControl w:val="1"/>
      </w:pPr>
      <w:r>
        <w:t>Índice global (IGM_Nacional).</w:t>
      </w:r>
    </w:p>
    <w:p>
      <w:pPr>
        <w:pStyle w:val="Heading3"/>
        <w:keepNext/>
        <w:keepLines/>
      </w:pPr>
      <w:r>
        <w:t>4.1. Normalización de indicadores</w:t>
      </w:r>
    </w:p>
    <w:p>
      <w:r>
        <w:t xml:space="preserve">Se recomienda crear, en </w:t>
      </w:r>
      <w:r>
        <w:rPr>
          <w:rFonts w:ascii="Courier New" w:hAnsi="Courier New"/>
          <w:sz w:val="18"/>
        </w:rPr>
        <w:t>Calculos_Indices</w:t>
      </w:r>
      <w:r>
        <w:t xml:space="preserve">, una tabla que para cada combinación </w:t>
      </w:r>
      <w:r>
        <w:rPr>
          <w:rFonts w:ascii="Courier New" w:hAnsi="Courier New"/>
          <w:sz w:val="18"/>
        </w:rPr>
        <w:t>Anio</w:t>
      </w:r>
      <w:r>
        <w:t xml:space="preserve"> + </w:t>
      </w:r>
      <w:r>
        <w:rPr>
          <w:rFonts w:ascii="Courier New" w:hAnsi="Courier New"/>
          <w:sz w:val="18"/>
        </w:rPr>
        <w:t>Ambito</w:t>
      </w:r>
      <w:r>
        <w:t xml:space="preserve"> + </w:t>
      </w:r>
      <w:r>
        <w:rPr>
          <w:rFonts w:ascii="Courier New" w:hAnsi="Courier New"/>
          <w:sz w:val="18"/>
        </w:rPr>
        <w:t>Codigo_IND</w:t>
      </w:r>
      <w:r>
        <w:t xml:space="preserve"> calcule:</w:t>
      </w:r>
    </w:p>
    <w:p>
      <w:pPr>
        <w:pStyle w:val="ListBullet"/>
        <w:keepLines w:val="1"/>
        <w:widowControl w:val="1"/>
      </w:pPr>
      <w:r>
        <w:t>Valor_Normalizado: valor en una escala común (por ejemplo 0–100).</w:t>
      </w:r>
    </w:p>
    <w:p>
      <w:r>
        <w:t>Estrategias de normalización típicas:</w:t>
      </w:r>
    </w:p>
    <w:p>
      <w:pPr>
        <w:pStyle w:val="ListBullet"/>
        <w:keepLines w:val="1"/>
        <w:widowControl w:val="1"/>
      </w:pPr>
      <w:r>
        <w:t>Para indicadores «más es mejor» (%) o tasas:</w:t>
      </w:r>
    </w:p>
    <w:p>
      <w:r>
        <w:rPr>
          <w:rFonts w:ascii="Courier New" w:hAnsi="Courier New"/>
          <w:sz w:val="18"/>
        </w:rPr>
        <w:t>Valor_Normalizado = MIN(Valor_Bruto, Umbral_Max) / Umbral_Max * 100</w:t>
      </w:r>
    </w:p>
    <w:p>
      <w:pPr>
        <w:pStyle w:val="ListBullet"/>
        <w:keepLines w:val="1"/>
        <w:widowControl w:val="1"/>
      </w:pPr>
      <w:r>
        <w:t>Para indicadores «menos es mejor» (por ejemplo, MTTR, días en modo degradado):</w:t>
      </w:r>
    </w:p>
    <w:p>
      <w:r>
        <w:rPr>
          <w:rFonts w:ascii="Courier New" w:hAnsi="Courier New"/>
          <w:sz w:val="18"/>
        </w:rPr>
        <w:t>Valor_Normalizado = MAX(0; (Umbral_Max - Valor_Bruto) / (Umbral_Max - Umbral_Min)) * 100</w:t>
      </w:r>
    </w:p>
    <w:p>
      <w:r>
        <w:t xml:space="preserve">Donde </w:t>
      </w:r>
      <w:r>
        <w:rPr>
          <w:rFonts w:ascii="Courier New" w:hAnsi="Courier New"/>
          <w:sz w:val="18"/>
        </w:rPr>
        <w:t>Umbral_Min</w:t>
      </w:r>
      <w:r>
        <w:t xml:space="preserve"> sería el valor «ideal» (por ejemplo, 0 horas) y </w:t>
      </w:r>
      <w:r>
        <w:rPr>
          <w:rFonts w:ascii="Courier New" w:hAnsi="Courier New"/>
          <w:sz w:val="18"/>
        </w:rPr>
        <w:t>Umbral_Max</w:t>
      </w:r>
      <w:r>
        <w:t xml:space="preserve"> el valor a partir del cual se considera inaceptable.</w:t>
      </w:r>
    </w:p>
    <w:p>
      <w:r>
        <w:t>Los umbrales pueden definirse en una pequeña tabla de parámetros.</w:t>
      </w:r>
    </w:p>
    <w:p>
      <w:pPr>
        <w:pStyle w:val="Heading3"/>
        <w:keepNext/>
        <w:keepLines/>
      </w:pPr>
      <w:r>
        <w:t>4.2. Cálculo de índices por dimensión</w:t>
      </w:r>
    </w:p>
    <w:p>
      <w:r>
        <w:t xml:space="preserve">Para cada </w:t>
      </w:r>
      <w:r>
        <w:rPr>
          <w:rFonts w:ascii="Courier New" w:hAnsi="Courier New"/>
          <w:sz w:val="18"/>
        </w:rPr>
        <w:t>Anio</w:t>
      </w:r>
      <w:r>
        <w:t xml:space="preserve"> + </w:t>
      </w:r>
      <w:r>
        <w:rPr>
          <w:rFonts w:ascii="Courier New" w:hAnsi="Courier New"/>
          <w:sz w:val="18"/>
        </w:rPr>
        <w:t>Ambito</w:t>
      </w:r>
      <w:r>
        <w:t xml:space="preserve"> + </w:t>
      </w:r>
      <w:r>
        <w:rPr>
          <w:rFonts w:ascii="Courier New" w:hAnsi="Courier New"/>
          <w:sz w:val="18"/>
        </w:rPr>
        <w:t>Dimension</w:t>
      </w:r>
      <w:r>
        <w:t>:</w:t>
      </w:r>
    </w:p>
    <w:p>
      <w:pPr>
        <w:pStyle w:val="ListBullet"/>
        <w:keepLines w:val="1"/>
        <w:widowControl w:val="1"/>
      </w:pPr>
      <w:r>
        <w:t>Índice de dimensión (por ejemplo, ID_CAP):</w:t>
      </w:r>
    </w:p>
    <w:p>
      <w:r>
        <w:rPr>
          <w:rFonts w:ascii="Courier New" w:hAnsi="Courier New"/>
          <w:sz w:val="18"/>
        </w:rPr>
        <w:t>ID_CAP = SUMAPRODUCTO(Valor_Normalizado_IND_CAP; Peso_Dimension_IND_CAP) / SUMA(Peso_Dimension_IND_CAP)</w:t>
      </w:r>
    </w:p>
    <w:p>
      <w:r>
        <w:t>En pseudocódigo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</w:t>
        <w:br/>
        <w:t xml:space="preserve">  (tblCalculos[Anio]=$A2)*</w:t>
        <w:br/>
        <w:t xml:space="preserve">  (tblCalculos[Ambito]=$B2)*</w:t>
        <w:br/>
        <w:t xml:space="preserve">  (tblCalculos[Dimension]="CAP")*</w:t>
        <w:br/>
        <w:t xml:space="preserve">  tblCalculos[Valor_Normalizado]*</w:t>
        <w:br/>
        <w:t xml:space="preserve">  tblCalculos[Peso_Dimension]</w:t>
        <w:br/>
        <w:t>) /</w:t>
        <w:br/>
        <w:t>SUMAPRODUCTO(</w:t>
        <w:br/>
        <w:t xml:space="preserve">  (tblCalculos[Anio]=$A2)*</w:t>
        <w:br/>
        <w:t xml:space="preserve">  (tblCalculos[Ambito]=$B2)*</w:t>
        <w:br/>
        <w:t xml:space="preserve">  (tblCalculos[Dimension]="CAP")*</w:t>
        <w:br/>
        <w:t xml:space="preserve">  tblCalculos[Peso_Dimension]</w:t>
        <w:br/>
        <w:t>)</w:t>
        <w:br/>
      </w:r>
    </w:p>
    <w:p>
      <w:pPr>
        <w:pStyle w:val="Heading3"/>
        <w:keepNext/>
        <w:keepLines/>
      </w:pPr>
      <w:r>
        <w:t>4.3. Cálculo del IGM nacional</w:t>
      </w:r>
    </w:p>
    <w:p>
      <w:r>
        <w:t xml:space="preserve">Para cada </w:t>
      </w:r>
      <w:r>
        <w:rPr>
          <w:rFonts w:ascii="Courier New" w:hAnsi="Courier New"/>
          <w:sz w:val="18"/>
        </w:rPr>
        <w:t>Anio</w:t>
      </w:r>
      <w:r>
        <w:t xml:space="preserve"> + </w:t>
      </w:r>
      <w:r>
        <w:rPr>
          <w:rFonts w:ascii="Courier New" w:hAnsi="Courier New"/>
          <w:sz w:val="18"/>
        </w:rPr>
        <w:t>Ambito</w:t>
      </w:r>
      <w:r>
        <w:t>:</w:t>
      </w:r>
    </w:p>
    <w:p>
      <w:pPr>
        <w:pStyle w:val="ListBullet"/>
        <w:keepLines w:val="1"/>
        <w:widowControl w:val="1"/>
      </w:pPr>
      <w:r>
        <w:t>Opción A – Media ponderada directa de todos los indicadores: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SUMAPRODUCTO(</w:t>
        <w:br/>
        <w:t xml:space="preserve">  (tblCalculos[Anio]=$A2)*</w:t>
        <w:br/>
        <w:t xml:space="preserve">  (tblCalculos[Ambito]=$B2)*</w:t>
        <w:br/>
        <w:t xml:space="preserve">  tblCalculos[Valor_Normalizado]*</w:t>
        <w:br/>
        <w:t xml:space="preserve">  tblCalculos[Peso_IGM]</w:t>
        <w:br/>
        <w:t>) /</w:t>
        <w:br/>
        <w:t>SUMAPRODUCTO(</w:t>
        <w:br/>
        <w:t xml:space="preserve">  (tblCalculos[Anio]=$A2)*</w:t>
        <w:br/>
        <w:t xml:space="preserve">  (tblCalculos[Ambito]=$B2)*</w:t>
        <w:br/>
        <w:t xml:space="preserve">  tblCalculos[Peso_IGM]</w:t>
        <w:br/>
        <w:t>)</w:t>
        <w:br/>
      </w:r>
    </w:p>
    <w:p>
      <w:pPr>
        <w:pStyle w:val="ListBullet"/>
        <w:keepLines w:val="1"/>
        <w:widowControl w:val="1"/>
      </w:pPr>
      <w:r>
        <w:t>Opción B – Media simple de los índices de dimensión: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PROMEDIO(ID_GOV; ID_CAP; ID_REND; ID_IMP; ID_ECO)</w:t>
        <w:br/>
      </w:r>
    </w:p>
    <w:p>
      <w:pPr>
        <w:pStyle w:val="Heading2"/>
        <w:keepNext/>
        <w:keepLines/>
      </w:pPr>
      <w:r>
        <w:rPr>
          <w:color w:val="0066CC"/>
        </w:rPr>
        <w:t>5. Hoja «ROI_Programas»</w:t>
      </w:r>
    </w:p>
    <w:p>
      <w:r>
        <w:t>Relaciona iniciativas o programas nacionales (por ejemplo, nuevo CSIRT sectorial, plan de formación masiva, refuerzo ENS) con:</w:t>
      </w:r>
    </w:p>
    <w:p>
      <w:pPr>
        <w:pStyle w:val="ListBullet"/>
        <w:keepLines w:val="1"/>
        <w:keepNext w:val="1"/>
        <w:widowControl w:val="1"/>
      </w:pPr>
      <w:r>
        <w:t>Su coste estimado.</w:t>
      </w:r>
    </w:p>
    <w:p>
      <w:pPr>
        <w:pStyle w:val="ListBullet"/>
        <w:keepLines w:val="1"/>
        <w:keepNext w:val="1"/>
        <w:widowControl w:val="1"/>
      </w:pPr>
      <w:r>
        <w:t>Su impacto esperado en indicadores/índices.</w:t>
      </w:r>
    </w:p>
    <w:p>
      <w:pPr>
        <w:pStyle w:val="ListBullet"/>
        <w:keepLines w:val="1"/>
        <w:widowControl w:val="1"/>
      </w:pPr>
      <w:r>
        <w:t>El ROI aproximado en términos de pérdidas evitadas.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ID_Programa.</w:t>
      </w:r>
    </w:p>
    <w:p>
      <w:pPr>
        <w:pStyle w:val="ListBullet"/>
        <w:keepLines w:val="1"/>
        <w:keepNext w:val="1"/>
        <w:widowControl w:val="1"/>
      </w:pPr>
      <w:r>
        <w:t>Nombre_Programa.</w:t>
      </w:r>
    </w:p>
    <w:p>
      <w:pPr>
        <w:pStyle w:val="ListBullet"/>
        <w:keepLines w:val="1"/>
        <w:keepNext w:val="1"/>
        <w:widowControl w:val="1"/>
      </w:pPr>
      <w:r>
        <w:t>Descripcion_Breve.</w:t>
      </w:r>
    </w:p>
    <w:p>
      <w:pPr>
        <w:pStyle w:val="ListBullet"/>
        <w:keepLines w:val="1"/>
        <w:keepNext w:val="1"/>
        <w:widowControl w:val="1"/>
      </w:pPr>
      <w:r>
        <w:t>Dimension_Principal (GOV, CAP, REND, IMP, ECO).</w:t>
      </w:r>
    </w:p>
    <w:p>
      <w:pPr>
        <w:pStyle w:val="ListBullet"/>
        <w:keepLines w:val="1"/>
        <w:keepNext w:val="1"/>
        <w:widowControl w:val="1"/>
      </w:pPr>
      <w:r>
        <w:t>Indicadores_Impactados (lista o códigos separados por comas: IND-05, IND-08, etc.).</w:t>
      </w:r>
    </w:p>
    <w:p>
      <w:pPr>
        <w:pStyle w:val="ListBullet"/>
        <w:keepLines w:val="1"/>
        <w:keepNext w:val="1"/>
        <w:widowControl w:val="1"/>
      </w:pPr>
      <w:r>
        <w:t>Coste_Total (en horizonte de análisis, p.ej. 3–5 años).</w:t>
      </w:r>
    </w:p>
    <w:p>
      <w:pPr>
        <w:pStyle w:val="ListBullet"/>
        <w:keepLines w:val="1"/>
        <w:keepNext w:val="1"/>
        <w:widowControl w:val="1"/>
      </w:pPr>
      <w:r>
        <w:t>Beneficio_Economico_Estimado (pérdidas evitadas en el mismo horizonte).</w:t>
      </w:r>
    </w:p>
    <w:p>
      <w:pPr>
        <w:pStyle w:val="ListBullet"/>
        <w:keepLines w:val="1"/>
        <w:keepNext w:val="1"/>
        <w:widowControl w:val="1"/>
      </w:pPr>
      <w:r>
        <w:t>ROI = (Beneficio_Economico_Estimado - Coste_Total) / Coste_Total.</w:t>
      </w:r>
    </w:p>
    <w:p>
      <w:pPr>
        <w:pStyle w:val="ListBullet"/>
        <w:keepLines w:val="1"/>
        <w:widowControl w:val="1"/>
      </w:pPr>
      <w:r>
        <w:t>Incremento_Esperado_IGM (estimación cualitativa o cuantitativa tras la implantación).</w:t>
      </w:r>
    </w:p>
    <w:p>
      <w:r>
        <w:t>La exactitud de los beneficios será siempre aproximada, pero el ejercicio ayuda a:</w:t>
      </w:r>
    </w:p>
    <w:p>
      <w:pPr>
        <w:pStyle w:val="ListBullet"/>
        <w:keepLines w:val="1"/>
        <w:keepNext w:val="1"/>
        <w:widowControl w:val="1"/>
      </w:pPr>
      <w:r>
        <w:t>Ordenar programas por impacto esperado en resiliencia vs. coste.</w:t>
      </w:r>
    </w:p>
    <w:p>
      <w:pPr>
        <w:pStyle w:val="ListBullet"/>
        <w:keepLines w:val="1"/>
        <w:widowControl w:val="1"/>
      </w:pPr>
      <w:r>
        <w:t>Dar argumentos económicos a las priorizaciones políticas.</w:t>
      </w:r>
    </w:p>
    <w:p>
      <w:pPr>
        <w:pStyle w:val="Heading2"/>
        <w:keepNext/>
        <w:keepLines/>
      </w:pPr>
      <w:r>
        <w:rPr>
          <w:color w:val="0066CC"/>
        </w:rPr>
        <w:t>6. Hoja «Cuadro_Mando_Nacional»</w:t>
      </w:r>
    </w:p>
    <w:p>
      <w:r>
        <w:t>Presenta de forma amigable los resultados para decisores.</w:t>
      </w:r>
    </w:p>
    <w:p>
      <w:r>
        <w:t>Elementos recomendados:</w:t>
      </w:r>
    </w:p>
    <w:p>
      <w:pPr>
        <w:pStyle w:val="ListNumber"/>
        <w:keepLines w:val="1"/>
        <w:keepNext w:val="1"/>
        <w:widowControl w:val="1"/>
      </w:pPr>
      <w:r>
        <w:t>Visión global:</w:t>
      </w:r>
    </w:p>
    <w:p>
      <w:pPr>
        <w:pStyle w:val="ListNumber"/>
        <w:keepLines w:val="1"/>
        <w:keepNext w:val="1"/>
        <w:widowControl w:val="1"/>
      </w:pPr>
      <w:r>
        <w:t>Gráfico de barras o velocímetro con IGM por año.</w:t>
      </w:r>
    </w:p>
    <w:p>
      <w:pPr>
        <w:pStyle w:val="ListNumber"/>
        <w:keepLines w:val="1"/>
        <w:keepNext w:val="1"/>
        <w:widowControl w:val="1"/>
      </w:pPr>
      <w:r>
        <w:br/>
        <w:t>Comparativa de IGM entre ámbitos (por ejemplo, nacional vs. CCAA).</w:t>
        <w:br/>
      </w:r>
    </w:p>
    <w:p>
      <w:pPr>
        <w:pStyle w:val="ListNumber"/>
        <w:keepLines w:val="1"/>
        <w:keepNext w:val="1"/>
        <w:widowControl w:val="1"/>
      </w:pPr>
      <w:r>
        <w:br/>
        <w:t>Desglose por dimensión:</w:t>
        <w:br/>
      </w:r>
    </w:p>
    <w:p>
      <w:pPr>
        <w:pStyle w:val="ListNumber"/>
        <w:keepLines w:val="1"/>
        <w:keepNext w:val="1"/>
        <w:widowControl w:val="1"/>
      </w:pPr>
      <w:r>
        <w:t>Gráfico radar con ID_GOV, ID_CAP, ID_REND, ID_IMP, ID_ECO.</w:t>
      </w:r>
    </w:p>
    <w:p>
      <w:pPr>
        <w:pStyle w:val="ListNumber"/>
        <w:keepLines w:val="1"/>
        <w:keepNext w:val="1"/>
        <w:widowControl w:val="1"/>
      </w:pPr>
      <w:r>
        <w:br/>
        <w:t>Gráficos de columnas por dimensión mostrando evolución temporal.</w:t>
        <w:br/>
      </w:r>
    </w:p>
    <w:p>
      <w:pPr>
        <w:pStyle w:val="ListNumber"/>
        <w:keepLines w:val="1"/>
        <w:keepNext w:val="1"/>
        <w:widowControl w:val="1"/>
      </w:pPr>
      <w:r>
        <w:br/>
        <w:t>Indicadores clave:</w:t>
        <w:br/>
      </w:r>
    </w:p>
    <w:p>
      <w:pPr>
        <w:pStyle w:val="ListNumber"/>
        <w:keepLines w:val="1"/>
        <w:keepNext w:val="1"/>
        <w:widowControl w:val="1"/>
      </w:pPr>
      <w:r>
        <w:br/>
        <w:t>Tabla con IND‑05, IND‑06, IND‑08, IND‑11, IND‑14, resaltando valores actuales, objetivo y tendencia.</w:t>
        <w:br/>
      </w:r>
    </w:p>
    <w:p>
      <w:pPr>
        <w:pStyle w:val="ListNumber"/>
        <w:keepLines w:val="1"/>
        <w:keepNext w:val="1"/>
        <w:widowControl w:val="1"/>
      </w:pPr>
      <w:r>
        <w:br/>
        <w:t>Mapa territorial (si aplica):</w:t>
        <w:br/>
      </w:r>
    </w:p>
    <w:p>
      <w:pPr>
        <w:pStyle w:val="ListNumber"/>
        <w:keepLines w:val="1"/>
        <w:keepNext w:val="1"/>
        <w:widowControl w:val="1"/>
      </w:pPr>
      <w:r>
        <w:br/>
        <w:t>Mapa de CCAA coloreado por IGM o por algún índice de dimensión.</w:t>
        <w:br/>
      </w:r>
    </w:p>
    <w:p>
      <w:pPr>
        <w:pStyle w:val="ListNumber"/>
        <w:keepLines w:val="1"/>
        <w:keepNext w:val="1"/>
        <w:widowControl w:val="1"/>
      </w:pPr>
      <w:r>
        <w:br/>
        <w:t>Lista de programas prioritarios (de ROI_Programas):</w:t>
        <w:br/>
      </w:r>
    </w:p>
    <w:p>
      <w:pPr>
        <w:pStyle w:val="ListNumber"/>
        <w:keepLines w:val="1"/>
        <w:widowControl w:val="1"/>
      </w:pPr>
      <w:r>
        <w:t>Ordenados por ROI o por impacto esperado en IGM.</w:t>
      </w:r>
    </w:p>
    <w:p>
      <w:r>
        <w:t>Comparativa de IGM entre ámbitos (por ejemplo, nacional vs. CCAA).</w:t>
      </w:r>
    </w:p>
    <w:p>
      <w:r>
        <w:rPr>
          <w:b/>
        </w:rPr>
        <w:t>Desglose por dimensión:</w:t>
      </w:r>
    </w:p>
    <w:p>
      <w:r>
        <w:t>Gráficos de columnas por dimensión mostrando evolución temporal.</w:t>
      </w:r>
    </w:p>
    <w:p>
      <w:r>
        <w:rPr>
          <w:b/>
        </w:rPr>
        <w:t>Indicadores clave:</w:t>
      </w:r>
    </w:p>
    <w:p>
      <w:r>
        <w:t>Tabla con IND‑05, IND‑06, IND‑08, IND‑11, IND‑14, resaltando valores actuales, objetivo y tendencia.</w:t>
      </w:r>
    </w:p>
    <w:p>
      <w:r>
        <w:rPr>
          <w:b/>
        </w:rPr>
        <w:t>Mapa territorial (si aplica):</w:t>
      </w:r>
    </w:p>
    <w:p>
      <w:r>
        <w:t>Mapa de CCAA coloreado por IGM o por algún índice de dimensión.</w:t>
      </w:r>
    </w:p>
    <w:p>
      <w:r>
        <w:rPr>
          <w:b/>
        </w:rPr>
        <w:t>Lista de programas prioritarios (de ROI_Programas):</w:t>
      </w:r>
    </w:p>
    <w:p>
      <w:pPr>
        <w:pStyle w:val="Heading2"/>
        <w:keepNext/>
        <w:keepLines/>
      </w:pPr>
      <w:r>
        <w:rPr>
          <w:color w:val="0066CC"/>
        </w:rPr>
        <w:t>7. Buenas prácticas de implementación</w:t>
      </w:r>
    </w:p>
    <w:p>
      <w:pPr>
        <w:pStyle w:val="ListBullet"/>
        <w:keepLines w:val="1"/>
        <w:keepNext w:val="1"/>
        <w:widowControl w:val="1"/>
      </w:pPr>
      <w:r>
        <w:t>Trazabilidad: usa referencias estructuradas (tablas con nombre, celdas con nombre) para que el libro sea mantenible.</w:t>
      </w:r>
    </w:p>
    <w:p>
      <w:pPr>
        <w:pStyle w:val="ListBullet"/>
        <w:keepLines w:val="1"/>
        <w:keepNext w:val="1"/>
        <w:widowControl w:val="1"/>
      </w:pPr>
      <w:r>
        <w:t>Documentación: añade una hoja Notas_Metodologicas con:</w:t>
      </w:r>
    </w:p>
    <w:p>
      <w:pPr>
        <w:pStyle w:val="ListBullet"/>
        <w:keepLines w:val="1"/>
        <w:keepNext w:val="1"/>
        <w:widowControl w:val="1"/>
      </w:pPr>
      <w:r>
        <w:t>Definiciones de cada indicador.</w:t>
      </w:r>
    </w:p>
    <w:p>
      <w:pPr>
        <w:pStyle w:val="ListBullet"/>
        <w:keepLines w:val="1"/>
        <w:keepNext w:val="1"/>
        <w:widowControl w:val="1"/>
      </w:pPr>
      <w:r>
        <w:t>Umbrales de normalización.</w:t>
      </w:r>
    </w:p>
    <w:p>
      <w:pPr>
        <w:pStyle w:val="ListBullet"/>
        <w:keepLines w:val="1"/>
        <w:keepNext w:val="1"/>
        <w:widowControl w:val="1"/>
      </w:pPr>
      <w:r>
        <w:t>Fuentes de datos y sus limitaciones.</w:t>
      </w:r>
    </w:p>
    <w:p>
      <w:pPr>
        <w:pStyle w:val="ListBullet"/>
        <w:keepLines w:val="1"/>
        <w:keepNext w:val="1"/>
        <w:widowControl w:val="1"/>
      </w:pPr>
      <w:r>
        <w:t>Gobernanza del dato: acuerda quién es responsable de actualizar cada indicador, con qué frecuencia y bajo qué controles de calidad.</w:t>
      </w:r>
    </w:p>
    <w:p>
      <w:pPr>
        <w:pStyle w:val="ListBullet"/>
        <w:keepLines w:val="1"/>
        <w:widowControl w:val="1"/>
      </w:pPr>
      <w:r>
        <w:t>Versionado: mantén control de versiones del fichero (o almacénalo en un repositorio) para poder reconstruir series históricas y cambios de metodología.</w:t>
      </w:r>
    </w:p>
    <w:p>
      <w:r>
        <w:t xml:space="preserve">Con este diseño, el Excel deja de ser «otra hoja con números» y se convierte en un </w:t>
      </w:r>
      <w:r>
        <w:rPr>
          <w:b/>
        </w:rPr>
        <w:t>instrumento de política pública</w:t>
      </w:r>
      <w:r>
        <w:t>: conecta indicadores GQM con decisiones, y permite evaluar si el dinero invertido en resiliencia nacional se traduce en mejoras tangibles.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