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– Indicadores nacionales BCM / ciber‑resiliencia</w:t>
      </w:r>
    </w:p>
    <w:p>
      <w:r>
        <w:t xml:space="preserve">Esta plantilla describe la estructura recomendada de un </w:t>
      </w:r>
      <w:r>
        <w:rPr>
          <w:b/>
        </w:rPr>
        <w:t>reporte ejecutivo</w:t>
      </w:r>
      <w:r>
        <w:t xml:space="preserve"> para presentar los resultados del sistema de indicadores nacionales de continuidad de negocio y ciber‑resiliencia basado en GQM + PRAGMATIC.</w:t>
      </w:r>
    </w:p>
    <w:p>
      <w:r>
        <w:t>Público objetivo típico:</w:t>
      </w:r>
    </w:p>
    <w:p>
      <w:pPr>
        <w:pStyle w:val="ListBullet"/>
        <w:keepLines w:val="1"/>
        <w:keepNext w:val="1"/>
        <w:widowControl w:val="1"/>
      </w:pPr>
      <w:r>
        <w:t>Altos cargos de la Administración.</w:t>
      </w:r>
    </w:p>
    <w:p>
      <w:pPr>
        <w:pStyle w:val="ListBullet"/>
        <w:keepLines w:val="1"/>
        <w:keepNext w:val="1"/>
        <w:widowControl w:val="1"/>
      </w:pPr>
      <w:r>
        <w:t>Responsables de políticas digitales y de ciberseguridad.</w:t>
      </w:r>
    </w:p>
    <w:p>
      <w:pPr>
        <w:pStyle w:val="ListBullet"/>
        <w:keepLines w:val="1"/>
        <w:widowControl w:val="1"/>
      </w:pPr>
      <w:r>
        <w:t>Representantes de reguladores sectoriales y operadores de servicios esenciales.</w:t>
      </w:r>
    </w:p>
    <w:p>
      <w:pPr>
        <w:pStyle w:val="Heading2"/>
        <w:keepNext/>
        <w:keepLines/>
      </w:pPr>
      <w:r>
        <w:rPr>
          <w:color w:val="0066CC"/>
        </w:rPr>
        <w:t>1. Estructura general</w:t>
      </w:r>
    </w:p>
    <w:p>
      <w:r>
        <w:t xml:space="preserve">Se sugiere una presentación de </w:t>
      </w:r>
      <w:r>
        <w:rPr>
          <w:b/>
        </w:rPr>
        <w:t>12 a 18 diapositivas</w:t>
      </w:r>
      <w:r>
        <w:t>, organizada en los siguientes bloques:</w:t>
      </w:r>
    </w:p>
    <w:p>
      <w:pPr>
        <w:pStyle w:val="ListNumber"/>
        <w:keepLines w:val="1"/>
        <w:keepNext w:val="1"/>
        <w:widowControl w:val="1"/>
      </w:pPr>
      <w:r>
        <w:t>Portada y contexto</w:t>
      </w:r>
    </w:p>
    <w:p>
      <w:pPr>
        <w:pStyle w:val="ListNumber"/>
        <w:keepLines w:val="1"/>
        <w:keepNext w:val="1"/>
        <w:widowControl w:val="1"/>
      </w:pPr>
      <w:r>
        <w:t>Objetivos del sistema de indicadores</w:t>
      </w:r>
    </w:p>
    <w:p>
      <w:pPr>
        <w:pStyle w:val="ListNumber"/>
        <w:keepLines w:val="1"/>
        <w:keepNext w:val="1"/>
        <w:widowControl w:val="1"/>
      </w:pPr>
      <w:r>
        <w:t>Marco GQM + PRAGMATIC</w:t>
      </w:r>
    </w:p>
    <w:p>
      <w:pPr>
        <w:pStyle w:val="ListNumber"/>
        <w:keepLines w:val="1"/>
        <w:keepNext w:val="1"/>
        <w:widowControl w:val="1"/>
      </w:pPr>
      <w:r>
        <w:t>Visión global (IGM y dimensiones)</w:t>
      </w:r>
    </w:p>
    <w:p>
      <w:pPr>
        <w:pStyle w:val="ListNumber"/>
        <w:keepLines w:val="1"/>
        <w:keepNext w:val="1"/>
        <w:widowControl w:val="1"/>
      </w:pPr>
      <w:r>
        <w:t>Detalle de indicadores clave</w:t>
      </w:r>
    </w:p>
    <w:p>
      <w:pPr>
        <w:pStyle w:val="ListNumber"/>
        <w:keepLines w:val="1"/>
        <w:keepNext w:val="1"/>
        <w:widowControl w:val="1"/>
      </w:pPr>
      <w:r>
        <w:t>Comparativa internacional</w:t>
      </w:r>
    </w:p>
    <w:p>
      <w:pPr>
        <w:pStyle w:val="ListNumber"/>
        <w:keepLines w:val="1"/>
        <w:keepNext w:val="1"/>
        <w:widowControl w:val="1"/>
      </w:pPr>
      <w:r>
        <w:t>Brechas normativo‑estratégicas</w:t>
      </w:r>
    </w:p>
    <w:p>
      <w:pPr>
        <w:pStyle w:val="ListNumber"/>
        <w:keepLines w:val="1"/>
        <w:keepNext w:val="1"/>
        <w:widowControl w:val="1"/>
      </w:pPr>
      <w:r>
        <w:t>Programas e iniciativas prioritarias</w:t>
      </w:r>
    </w:p>
    <w:p>
      <w:pPr>
        <w:pStyle w:val="ListNumber"/>
        <w:keepLines w:val="1"/>
        <w:keepNext w:val="1"/>
        <w:widowControl w:val="1"/>
      </w:pPr>
      <w:r>
        <w:t>ROI y justificación económica</w:t>
      </w:r>
    </w:p>
    <w:p>
      <w:pPr>
        <w:pStyle w:val="ListNumber"/>
        <w:keepLines w:val="1"/>
        <w:widowControl w:val="1"/>
      </w:pPr>
      <w:r>
        <w:t>Roadmap y próximos pasos</w:t>
      </w:r>
    </w:p>
    <w:p>
      <w:pPr>
        <w:pStyle w:val="Heading2"/>
        <w:keepNext/>
        <w:keepLines/>
      </w:pPr>
      <w:r>
        <w:rPr>
          <w:color w:val="0066CC"/>
        </w:rPr>
        <w:t>2. Detalle de diapositivas sugeridas</w:t>
      </w:r>
    </w:p>
    <w:p>
      <w:pPr>
        <w:pStyle w:val="Heading3"/>
        <w:keepNext/>
        <w:keepLines/>
      </w:pPr>
      <w: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«Indicadores nacionales de ciber‑resiliencia y continuidad de negocio».</w:t>
      </w:r>
    </w:p>
    <w:p>
      <w:pPr>
        <w:pStyle w:val="ListBullet"/>
        <w:keepLines w:val="1"/>
        <w:keepNext w:val="1"/>
        <w:widowControl w:val="1"/>
      </w:pPr>
      <w:r>
        <w:t>Subtítulo: «Resultados y propuestas de actuación».</w:t>
      </w:r>
    </w:p>
    <w:p>
      <w:pPr>
        <w:pStyle w:val="ListBullet"/>
        <w:keepLines w:val="1"/>
        <w:keepNext w:val="1"/>
        <w:widowControl w:val="1"/>
      </w:pPr>
      <w:r>
        <w:t>Datos: fecha, organismo responsable, versión.</w:t>
      </w:r>
    </w:p>
    <w:p>
      <w:pPr>
        <w:pStyle w:val="ListBullet"/>
        <w:keepLines w:val="1"/>
        <w:widowControl w:val="1"/>
      </w:pPr>
      <w:r>
        <w:t>Opcional: frase inspiradora del tipo «La resiliencia se prepara en días tranquilos para usarse en días revueltos».</w:t>
      </w:r>
    </w:p>
    <w:p>
      <w:pPr>
        <w:pStyle w:val="Heading3"/>
        <w:keepNext/>
        <w:keepLines/>
      </w:pPr>
      <w:r>
        <w:t>Diapositiva 2 – Por qué este sistema de indicadores</w:t>
      </w:r>
    </w:p>
    <w:p>
      <w:pPr>
        <w:pStyle w:val="ListBullet"/>
        <w:keepLines w:val="1"/>
        <w:keepNext w:val="1"/>
        <w:widowControl w:val="1"/>
      </w:pPr>
      <w:r>
        <w:t>Problema de partida: aumento de ciberincidentes, complejidad tecnológica, nuevas exigencias (ENS, NIS2, DORA…).</w:t>
      </w:r>
    </w:p>
    <w:p>
      <w:pPr>
        <w:pStyle w:val="ListBullet"/>
        <w:keepLines w:val="1"/>
        <w:keepNext w:val="1"/>
        <w:widowControl w:val="1"/>
      </w:pPr>
      <w:r>
        <w:t>Necesidad: pasar de fotos parciales a un cuadro coherente de resiliencia país.</w:t>
      </w:r>
    </w:p>
    <w:p>
      <w:pPr>
        <w:pStyle w:val="ListBullet"/>
        <w:keepLines w:val="1"/>
        <w:widowControl w:val="1"/>
      </w:pPr>
      <w:r>
        <w:t>Objetivo: medir para gobernar mejor, no para acumular PDFs.</w:t>
      </w:r>
    </w:p>
    <w:p>
      <w:pPr>
        <w:pStyle w:val="Heading3"/>
        <w:keepNext/>
        <w:keepLines/>
      </w:pPr>
      <w:r>
        <w:t>Diapositiva 3 – Objetivos del sistema (GQM)</w:t>
      </w:r>
    </w:p>
    <w:p>
      <w:pPr>
        <w:pStyle w:val="ListBullet"/>
        <w:keepLines w:val="1"/>
        <w:keepNext w:val="1"/>
        <w:widowControl w:val="1"/>
      </w:pPr>
      <w:r>
        <w:t>Enumerar los grandes objetivos nacionales (G1–G3):</w:t>
      </w:r>
    </w:p>
    <w:p>
      <w:pPr>
        <w:pStyle w:val="ListBullet"/>
        <w:keepLines w:val="1"/>
        <w:keepNext w:val="1"/>
        <w:widowControl w:val="1"/>
      </w:pPr>
      <w:r>
        <w:t>Garantizar continuidad de servicios esenciales.</w:t>
      </w:r>
    </w:p>
    <w:p>
      <w:pPr>
        <w:pStyle w:val="ListBullet"/>
        <w:keepLines w:val="1"/>
        <w:keepNext w:val="1"/>
        <w:widowControl w:val="1"/>
      </w:pPr>
      <w:r>
        <w:t>Reducir impacto económico y social de ciberincidentes.</w:t>
      </w:r>
    </w:p>
    <w:p>
      <w:pPr>
        <w:pStyle w:val="ListBullet"/>
        <w:keepLines w:val="1"/>
        <w:keepNext w:val="1"/>
        <w:widowControl w:val="1"/>
      </w:pPr>
      <w:r>
        <w:t>Mantener alineamiento con estándares e índices internacionales.</w:t>
      </w:r>
    </w:p>
    <w:p>
      <w:pPr>
        <w:pStyle w:val="ListBullet"/>
        <w:keepLines w:val="1"/>
        <w:widowControl w:val="1"/>
      </w:pPr>
      <w:r>
        <w:t>Recordatorio breve de la lógica GQM (Objetivo → Pregunta → Métrica).</w:t>
      </w:r>
    </w:p>
    <w:p>
      <w:pPr>
        <w:pStyle w:val="Heading3"/>
        <w:keepNext/>
        <w:keepLines/>
      </w:pPr>
      <w:r>
        <w:t>Diapositiva 4 – Marco GQM + PRAGMATIC</w:t>
      </w:r>
    </w:p>
    <w:p>
      <w:pPr>
        <w:pStyle w:val="ListBullet"/>
        <w:keepLines w:val="1"/>
        <w:keepNext w:val="1"/>
        <w:widowControl w:val="1"/>
      </w:pPr>
      <w:r>
        <w:t>Esquema visual sencillo:</w:t>
      </w:r>
    </w:p>
    <w:p>
      <w:pPr>
        <w:pStyle w:val="ListBullet"/>
        <w:keepLines w:val="1"/>
        <w:keepNext w:val="1"/>
        <w:widowControl w:val="1"/>
      </w:pPr>
      <w:r>
        <w:t>Objetivos nacionales (G).</w:t>
      </w:r>
    </w:p>
    <w:p>
      <w:pPr>
        <w:pStyle w:val="ListBullet"/>
        <w:keepLines w:val="1"/>
        <w:keepNext w:val="1"/>
        <w:widowControl w:val="1"/>
      </w:pPr>
      <w:r>
        <w:t>Preguntas estratégicas (Q).</w:t>
      </w:r>
    </w:p>
    <w:p>
      <w:pPr>
        <w:pStyle w:val="ListBullet"/>
        <w:keepLines w:val="1"/>
        <w:keepNext w:val="1"/>
        <w:widowControl w:val="1"/>
      </w:pPr>
      <w:r>
        <w:t>Métricas IND‑01…IND‑14 (M).</w:t>
      </w:r>
    </w:p>
    <w:p>
      <w:pPr>
        <w:pStyle w:val="ListBullet"/>
        <w:keepLines w:val="1"/>
        <w:keepNext w:val="1"/>
        <w:widowControl w:val="1"/>
      </w:pPr>
      <w:r>
        <w:t>Capa PRAGMATIC filtrando la calidad de cada métrica.</w:t>
      </w:r>
    </w:p>
    <w:p>
      <w:pPr>
        <w:pStyle w:val="ListBullet"/>
        <w:keepLines w:val="1"/>
        <w:widowControl w:val="1"/>
      </w:pPr>
      <w:r>
        <w:t>Mensaje clave: «No todo lo que se puede medir merece ser medido; PRAGMATIC nos ayuda a separar trigo de paja».</w:t>
      </w:r>
    </w:p>
    <w:p>
      <w:pPr>
        <w:pStyle w:val="Heading3"/>
        <w:keepNext/>
        <w:keepLines/>
      </w:pPr>
      <w:r>
        <w:t>Diapositiva 5 – Índice Global de Madurez (IGM)</w:t>
      </w:r>
    </w:p>
    <w:p>
      <w:pPr>
        <w:pStyle w:val="ListBullet"/>
        <w:keepLines w:val="1"/>
        <w:keepNext w:val="1"/>
        <w:widowControl w:val="1"/>
      </w:pPr>
      <w:r>
        <w:t>Gráfico de tipo velocímetro o barra:</w:t>
      </w:r>
    </w:p>
    <w:p>
      <w:pPr>
        <w:pStyle w:val="ListBullet"/>
        <w:keepLines w:val="1"/>
        <w:keepNext w:val="1"/>
        <w:widowControl w:val="1"/>
      </w:pPr>
      <w:r>
        <w:t>IGM actual (por ejemplo, 0–100).</w:t>
      </w:r>
    </w:p>
    <w:p>
      <w:pPr>
        <w:pStyle w:val="ListBullet"/>
        <w:keepLines w:val="1"/>
        <w:keepNext w:val="1"/>
        <w:widowControl w:val="1"/>
      </w:pPr>
      <w:r>
        <w:t>Comparación con años anteriores (si existe histórico).</w:t>
      </w:r>
    </w:p>
    <w:p>
      <w:pPr>
        <w:pStyle w:val="ListBullet"/>
        <w:keepLines w:val="1"/>
        <w:keepNext w:val="1"/>
        <w:widowControl w:val="1"/>
      </w:pPr>
      <w:r>
        <w:t>Comentarios:</w:t>
      </w:r>
    </w:p>
    <w:p>
      <w:pPr>
        <w:pStyle w:val="ListBullet"/>
        <w:keepLines w:val="1"/>
        <w:keepNext w:val="1"/>
        <w:widowControl w:val="1"/>
      </w:pPr>
      <w:r>
        <w:t>Nivel cualitativo: incipiente, en desarrollo, avanzado.</w:t>
      </w:r>
    </w:p>
    <w:p>
      <w:pPr>
        <w:pStyle w:val="ListBullet"/>
        <w:keepLines w:val="1"/>
        <w:widowControl w:val="1"/>
      </w:pPr>
      <w:r>
        <w:t>Ambición u objetivo a medio plazo.</w:t>
      </w:r>
    </w:p>
    <w:p>
      <w:pPr>
        <w:pStyle w:val="Heading3"/>
        <w:keepNext/>
        <w:keepLines/>
      </w:pPr>
      <w:r>
        <w:t>Diapositiva 6 – Índices por dimensión</w:t>
      </w:r>
    </w:p>
    <w:p>
      <w:pPr>
        <w:pStyle w:val="ListBullet"/>
        <w:keepLines w:val="1"/>
        <w:keepNext w:val="1"/>
        <w:widowControl w:val="1"/>
      </w:pPr>
      <w:r>
        <w:t>Gráfico radar con:</w:t>
      </w:r>
    </w:p>
    <w:p>
      <w:pPr>
        <w:pStyle w:val="ListBullet"/>
        <w:keepLines w:val="1"/>
        <w:keepNext w:val="1"/>
        <w:widowControl w:val="1"/>
      </w:pPr>
      <w:r>
        <w:t>ID_GOV (gobernanza).</w:t>
      </w:r>
    </w:p>
    <w:p>
      <w:pPr>
        <w:pStyle w:val="ListBullet"/>
        <w:keepLines w:val="1"/>
        <w:keepNext w:val="1"/>
        <w:widowControl w:val="1"/>
      </w:pPr>
      <w:r>
        <w:t>ID_CAP (capacidades).</w:t>
      </w:r>
    </w:p>
    <w:p>
      <w:pPr>
        <w:pStyle w:val="ListBullet"/>
        <w:keepLines w:val="1"/>
        <w:keepNext w:val="1"/>
        <w:widowControl w:val="1"/>
      </w:pPr>
      <w:r>
        <w:t>ID_REND (rendimiento/operación).</w:t>
      </w:r>
    </w:p>
    <w:p>
      <w:pPr>
        <w:pStyle w:val="ListBullet"/>
        <w:keepLines w:val="1"/>
        <w:keepNext w:val="1"/>
        <w:widowControl w:val="1"/>
      </w:pPr>
      <w:r>
        <w:t>ID_IMP (impacto).</w:t>
      </w:r>
    </w:p>
    <w:p>
      <w:pPr>
        <w:pStyle w:val="ListBullet"/>
        <w:keepLines w:val="1"/>
        <w:keepNext w:val="1"/>
        <w:widowControl w:val="1"/>
      </w:pPr>
      <w:r>
        <w:t>ID_ECO (ecosistema y cultura).</w:t>
      </w:r>
    </w:p>
    <w:p>
      <w:pPr>
        <w:pStyle w:val="ListBullet"/>
        <w:keepLines w:val="1"/>
        <w:keepNext w:val="1"/>
        <w:widowControl w:val="1"/>
      </w:pPr>
      <w:r>
        <w:t>Lectura rápida:</w:t>
      </w:r>
    </w:p>
    <w:p>
      <w:pPr>
        <w:pStyle w:val="ListBullet"/>
        <w:keepLines w:val="1"/>
        <w:keepNext w:val="1"/>
        <w:widowControl w:val="1"/>
      </w:pPr>
      <w:r>
        <w:t>Dónde estamos más fuertes.</w:t>
      </w:r>
    </w:p>
    <w:p>
      <w:pPr>
        <w:pStyle w:val="ListBullet"/>
        <w:keepLines w:val="1"/>
        <w:widowControl w:val="1"/>
      </w:pPr>
      <w:r>
        <w:t>Dónde se aprecian debilidades claras.</w:t>
      </w:r>
    </w:p>
    <w:p>
      <w:pPr>
        <w:pStyle w:val="Heading3"/>
        <w:keepNext/>
        <w:keepLines/>
      </w:pPr>
      <w:r>
        <w:t>Diapositiva 7 – Indicadores estructurales clave</w:t>
      </w:r>
    </w:p>
    <w:p>
      <w:pPr>
        <w:pStyle w:val="ListBullet"/>
        <w:keepLines w:val="1"/>
        <w:keepNext w:val="1"/>
        <w:widowControl w:val="1"/>
      </w:pPr>
      <w:r>
        <w:t>Tabla / gráfico de barras con algunos indicadores «columna vertebral»:</w:t>
      </w:r>
    </w:p>
    <w:p>
      <w:pPr>
        <w:pStyle w:val="ListBullet"/>
        <w:keepLines w:val="1"/>
        <w:keepNext w:val="1"/>
        <w:widowControl w:val="1"/>
      </w:pPr>
      <w:r>
        <w:t>IND‑01 (estrategia vigente).</w:t>
      </w:r>
    </w:p>
    <w:p>
      <w:pPr>
        <w:pStyle w:val="ListBullet"/>
        <w:keepLines w:val="1"/>
        <w:keepNext w:val="1"/>
        <w:widowControl w:val="1"/>
      </w:pPr>
      <w:r>
        <w:t>IND‑05 (OSE con BCP probado).</w:t>
      </w:r>
    </w:p>
    <w:p>
      <w:pPr>
        <w:pStyle w:val="ListBullet"/>
        <w:keepLines w:val="1"/>
        <w:keepNext w:val="1"/>
        <w:widowControl w:val="1"/>
      </w:pPr>
      <w:r>
        <w:t>IND‑06 (controles ENS de continuidad implantados).</w:t>
      </w:r>
    </w:p>
    <w:p>
      <w:pPr>
        <w:pStyle w:val="ListBullet"/>
        <w:keepLines w:val="1"/>
        <w:keepNext w:val="1"/>
        <w:widowControl w:val="1"/>
      </w:pPr>
      <w:r>
        <w:t>IND‑12 / IND‑14 (ejercicios de crisis y BCP con escenarios ciber).</w:t>
      </w:r>
    </w:p>
    <w:p>
      <w:pPr>
        <w:pStyle w:val="ListBullet"/>
        <w:keepLines w:val="1"/>
        <w:widowControl w:val="1"/>
      </w:pPr>
      <w:r>
        <w:t>Comentarios breves sobre cada uno.</w:t>
      </w:r>
    </w:p>
    <w:p>
      <w:pPr>
        <w:pStyle w:val="Heading3"/>
        <w:keepNext/>
        <w:keepLines/>
      </w:pPr>
      <w:r>
        <w:t>Diapositiva 8 – Indicadores de desempeño e impacto</w:t>
      </w:r>
    </w:p>
    <w:p>
      <w:pPr>
        <w:pStyle w:val="ListBullet"/>
        <w:keepLines w:val="1"/>
        <w:keepNext w:val="1"/>
        <w:widowControl w:val="1"/>
      </w:pPr>
      <w:r>
        <w:t>Gráficos o tablas con:</w:t>
      </w:r>
    </w:p>
    <w:p>
      <w:pPr>
        <w:pStyle w:val="ListBullet"/>
        <w:keepLines w:val="1"/>
        <w:keepNext w:val="1"/>
        <w:widowControl w:val="1"/>
      </w:pPr>
      <w:r>
        <w:t>IND‑07 (incidentes significativos por 100.000 hab. y sector).</w:t>
      </w:r>
    </w:p>
    <w:p>
      <w:pPr>
        <w:pStyle w:val="ListBullet"/>
        <w:keepLines w:val="1"/>
        <w:keepNext w:val="1"/>
        <w:widowControl w:val="1"/>
      </w:pPr>
      <w:r>
        <w:t>IND‑08 (MTTR servicios esenciales).</w:t>
      </w:r>
    </w:p>
    <w:p>
      <w:pPr>
        <w:pStyle w:val="ListBullet"/>
        <w:keepLines w:val="1"/>
        <w:keepNext w:val="1"/>
        <w:widowControl w:val="1"/>
      </w:pPr>
      <w:r>
        <w:t>IND‑11 (días en modo degradado).</w:t>
      </w:r>
    </w:p>
    <w:p>
      <w:pPr>
        <w:pStyle w:val="ListBullet"/>
        <w:keepLines w:val="1"/>
        <w:keepNext w:val="1"/>
        <w:widowControl w:val="1"/>
      </w:pPr>
      <w:r>
        <w:t>IND‑10 (pérdidas económicas % PIB, si se estima).</w:t>
      </w:r>
    </w:p>
    <w:p>
      <w:pPr>
        <w:pStyle w:val="ListBullet"/>
        <w:keepLines w:val="1"/>
        <w:widowControl w:val="1"/>
      </w:pPr>
      <w:r>
        <w:t>Mensaje clave: cómo se traducen las capacidades en resultados reales.</w:t>
      </w:r>
    </w:p>
    <w:p>
      <w:pPr>
        <w:pStyle w:val="Heading3"/>
        <w:keepNext/>
        <w:keepLines/>
      </w:pPr>
      <w:r>
        <w:t>Diapositiva 9 – Comparativa internacional</w:t>
      </w:r>
    </w:p>
    <w:p>
      <w:pPr>
        <w:pStyle w:val="ListBullet"/>
        <w:keepLines w:val="1"/>
        <w:keepNext w:val="1"/>
        <w:widowControl w:val="1"/>
      </w:pPr>
      <w:r>
        <w:t>Gráfico o tabla que muestre:</w:t>
      </w:r>
    </w:p>
    <w:p>
      <w:pPr>
        <w:pStyle w:val="ListBullet"/>
        <w:keepLines w:val="1"/>
        <w:keepNext w:val="1"/>
        <w:widowControl w:val="1"/>
      </w:pPr>
      <w:r>
        <w:t>Posición y puntuación en GCI y NCSI (IND‑03).</w:t>
      </w:r>
    </w:p>
    <w:p>
      <w:pPr>
        <w:pStyle w:val="ListBullet"/>
        <w:keepLines w:val="1"/>
        <w:keepNext w:val="1"/>
        <w:widowControl w:val="1"/>
      </w:pPr>
      <w:r>
        <w:t>Evolución temporal o comparación con un conjunto de países de referencia.</w:t>
      </w:r>
    </w:p>
    <w:p>
      <w:pPr>
        <w:pStyle w:val="ListBullet"/>
        <w:keepLines w:val="1"/>
        <w:widowControl w:val="1"/>
      </w:pPr>
      <w:r>
        <w:t>Advertencia amable: no caer en «ranking‑manía», pero sí usarla para entender dónde estamos.</w:t>
      </w:r>
    </w:p>
    <w:p>
      <w:pPr>
        <w:pStyle w:val="Heading3"/>
        <w:keepNext/>
        <w:keepLines/>
      </w:pPr>
      <w:r>
        <w:t>Diapositiva 10 – Brechas frente a marcos normativos</w:t>
      </w:r>
    </w:p>
    <w:p>
      <w:pPr>
        <w:pStyle w:val="ListBullet"/>
        <w:keepLines w:val="1"/>
        <w:keepNext w:val="1"/>
        <w:widowControl w:val="1"/>
      </w:pPr>
      <w:r>
        <w:t>Tabla con columnas:</w:t>
      </w:r>
    </w:p>
    <w:p>
      <w:pPr>
        <w:pStyle w:val="ListBullet"/>
        <w:keepLines w:val="1"/>
        <w:keepNext w:val="1"/>
        <w:widowControl w:val="1"/>
      </w:pPr>
      <w:r>
        <w:t>Indicador (IND‑xx).</w:t>
      </w:r>
    </w:p>
    <w:p>
      <w:pPr>
        <w:pStyle w:val="ListBullet"/>
        <w:keepLines w:val="1"/>
        <w:keepNext w:val="1"/>
        <w:widowControl w:val="1"/>
      </w:pPr>
      <w:r>
        <w:t>Marco(s) relacionado(s) (ENS, NIS2, DORA, ENCS…).</w:t>
      </w:r>
    </w:p>
    <w:p>
      <w:pPr>
        <w:pStyle w:val="ListBullet"/>
        <w:keepLines w:val="1"/>
        <w:keepNext w:val="1"/>
        <w:widowControl w:val="1"/>
      </w:pPr>
      <w:r>
        <w:t>Nivel actual vs. nivel deseable.</w:t>
      </w:r>
    </w:p>
    <w:p>
      <w:pPr>
        <w:pStyle w:val="ListBullet"/>
        <w:keepLines w:val="1"/>
        <w:keepNext w:val="1"/>
        <w:widowControl w:val="1"/>
      </w:pPr>
      <w:r>
        <w:t>Riesgo asociado (por ejemplo, operativo, regulatorio, reputacional).</w:t>
      </w:r>
    </w:p>
    <w:p>
      <w:pPr>
        <w:pStyle w:val="ListBullet"/>
        <w:keepLines w:val="1"/>
        <w:widowControl w:val="1"/>
      </w:pPr>
      <w:r>
        <w:t>Extraído del documento de mapeo normativo.</w:t>
      </w:r>
    </w:p>
    <w:p>
      <w:pPr>
        <w:pStyle w:val="Heading3"/>
        <w:keepNext/>
        <w:keepLines/>
      </w:pPr>
      <w:r>
        <w:t>Diapositiva 11 – Programas e iniciativas prioritarias</w:t>
      </w:r>
    </w:p>
    <w:p>
      <w:pPr>
        <w:pStyle w:val="ListBullet"/>
        <w:keepLines w:val="1"/>
        <w:keepNext w:val="1"/>
        <w:widowControl w:val="1"/>
      </w:pPr>
      <w:r>
        <w:t>Basado en ROI_Programas y en los indicadores peor valorados.</w:t>
      </w:r>
    </w:p>
    <w:p>
      <w:pPr>
        <w:pStyle w:val="ListBullet"/>
        <w:keepLines w:val="1"/>
        <w:keepNext w:val="1"/>
        <w:widowControl w:val="1"/>
      </w:pPr>
      <w:r>
        <w:t>Para cada iniciativa clave:</w:t>
      </w:r>
    </w:p>
    <w:p>
      <w:pPr>
        <w:pStyle w:val="ListBullet"/>
        <w:keepLines w:val="1"/>
        <w:keepNext w:val="1"/>
        <w:widowControl w:val="1"/>
      </w:pPr>
      <w:r>
        <w:t>Indicadores que impacta (ej. IND‑05, IND‑08…).</w:t>
      </w:r>
    </w:p>
    <w:p>
      <w:pPr>
        <w:pStyle w:val="ListBullet"/>
        <w:keepLines w:val="1"/>
        <w:keepNext w:val="1"/>
        <w:widowControl w:val="1"/>
      </w:pPr>
      <w:r>
        <w:t>A qué dimensión contribuye.</w:t>
      </w:r>
    </w:p>
    <w:p>
      <w:pPr>
        <w:pStyle w:val="ListBullet"/>
        <w:keepLines w:val="1"/>
        <w:keepNext w:val="1"/>
        <w:widowControl w:val="1"/>
      </w:pPr>
      <w:r>
        <w:t>Horizonte temporal (corto, medio, largo plazo).</w:t>
      </w:r>
    </w:p>
    <w:p>
      <w:pPr>
        <w:pStyle w:val="ListBullet"/>
        <w:keepLines w:val="1"/>
        <w:widowControl w:val="1"/>
      </w:pPr>
      <w:r>
        <w:t>Representación sugerida: matriz impacto vs. esfuerzo, o listado priorizado.</w:t>
      </w:r>
    </w:p>
    <w:p>
      <w:pPr>
        <w:pStyle w:val="Heading3"/>
        <w:keepNext/>
        <w:keepLines/>
      </w:pPr>
      <w:r>
        <w:t>Diapositiva 12 – ROI y justificación económica</w:t>
      </w:r>
    </w:p>
    <w:p>
      <w:pPr>
        <w:pStyle w:val="ListBullet"/>
        <w:keepLines w:val="1"/>
        <w:keepNext w:val="1"/>
        <w:widowControl w:val="1"/>
      </w:pPr>
      <w:r>
        <w:t>Gráfico o tabla resumen de:</w:t>
      </w:r>
    </w:p>
    <w:p>
      <w:pPr>
        <w:pStyle w:val="ListBullet"/>
        <w:keepLines w:val="1"/>
        <w:keepNext w:val="1"/>
        <w:widowControl w:val="1"/>
      </w:pPr>
      <w:r>
        <w:t>Coste estimado de programas seleccionados.</w:t>
      </w:r>
    </w:p>
    <w:p>
      <w:pPr>
        <w:pStyle w:val="ListBullet"/>
        <w:keepLines w:val="1"/>
        <w:keepNext w:val="1"/>
        <w:widowControl w:val="1"/>
      </w:pPr>
      <w:r>
        <w:t>Beneficios económicos (pérdidas evitadas) y ROI aproximado.</w:t>
      </w:r>
    </w:p>
    <w:p>
      <w:pPr>
        <w:pStyle w:val="ListBullet"/>
        <w:keepLines w:val="1"/>
        <w:widowControl w:val="1"/>
      </w:pPr>
      <w:r>
        <w:t>Conexión directa con IND‑10 (cuando exista) y con métricas de downtime (IND‑08, IND‑11).</w:t>
      </w:r>
    </w:p>
    <w:p>
      <w:pPr>
        <w:pStyle w:val="Heading3"/>
        <w:keepNext/>
        <w:keepLines/>
      </w:pPr>
      <w:r>
        <w:t>Diapositiva 13 – Roadmap y hitos</w:t>
      </w:r>
    </w:p>
    <w:p>
      <w:pPr>
        <w:pStyle w:val="ListBullet"/>
        <w:keepLines w:val="1"/>
        <w:keepNext w:val="1"/>
        <w:widowControl w:val="1"/>
      </w:pPr>
      <w:r>
        <w:t>Cronograma de 2–4 años con fases:</w:t>
      </w:r>
    </w:p>
    <w:p>
      <w:pPr>
        <w:pStyle w:val="ListBullet"/>
        <w:keepLines w:val="1"/>
        <w:keepNext w:val="1"/>
        <w:widowControl w:val="1"/>
      </w:pPr>
      <w:r>
        <w:t>Diseño y despliegue de capacidades.</w:t>
      </w:r>
    </w:p>
    <w:p>
      <w:pPr>
        <w:pStyle w:val="ListBullet"/>
        <w:keepLines w:val="1"/>
        <w:keepNext w:val="1"/>
        <w:widowControl w:val="1"/>
      </w:pPr>
      <w:r>
        <w:t>Ejecución de programas críticos.</w:t>
      </w:r>
    </w:p>
    <w:p>
      <w:pPr>
        <w:pStyle w:val="ListBullet"/>
        <w:keepLines w:val="1"/>
        <w:keepNext w:val="1"/>
        <w:widowControl w:val="1"/>
      </w:pPr>
      <w:r>
        <w:t>Consolidación y optimización.</w:t>
      </w:r>
    </w:p>
    <w:p>
      <w:pPr>
        <w:pStyle w:val="ListBullet"/>
        <w:keepLines w:val="1"/>
        <w:widowControl w:val="1"/>
      </w:pPr>
      <w:r>
        <w:t>Asignación de responsabilidades a alto nivel (ministerios, agencias, reguladores sectoriales).</w:t>
      </w:r>
    </w:p>
    <w:p>
      <w:pPr>
        <w:pStyle w:val="Heading3"/>
        <w:keepNext/>
        <w:keepLines/>
      </w:pPr>
      <w:r>
        <w:t>Diapositiva 14 – Próximos pasos inmediatos</w:t>
      </w:r>
    </w:p>
    <w:p>
      <w:pPr>
        <w:pStyle w:val="ListBullet"/>
        <w:keepLines w:val="1"/>
        <w:keepNext w:val="1"/>
        <w:widowControl w:val="1"/>
      </w:pPr>
      <w:r>
        <w:t>Lista de 3–5 acciones concretas para los próximos 6–12 meses.</w:t>
      </w:r>
    </w:p>
    <w:p>
      <w:pPr>
        <w:pStyle w:val="ListBullet"/>
        <w:keepLines w:val="1"/>
        <w:keepNext w:val="1"/>
        <w:widowControl w:val="1"/>
      </w:pPr>
      <w:r>
        <w:t>Ejemplos:</w:t>
      </w:r>
    </w:p>
    <w:p>
      <w:pPr>
        <w:pStyle w:val="ListBullet"/>
        <w:keepLines w:val="1"/>
        <w:keepNext w:val="1"/>
        <w:widowControl w:val="1"/>
      </w:pPr>
      <w:r>
        <w:t>Consolidar gobernanza del sistema de indicadores y de datos.</w:t>
      </w:r>
    </w:p>
    <w:p>
      <w:pPr>
        <w:pStyle w:val="ListBullet"/>
        <w:keepLines w:val="1"/>
        <w:keepNext w:val="1"/>
        <w:widowControl w:val="1"/>
      </w:pPr>
      <w:r>
        <w:t>Cerrar brechas urgentes identificadas en IND‑05/IND‑06.</w:t>
      </w:r>
    </w:p>
    <w:p>
      <w:pPr>
        <w:pStyle w:val="ListBullet"/>
        <w:keepLines w:val="1"/>
        <w:widowControl w:val="1"/>
      </w:pPr>
      <w:r>
        <w:t>Planificar y ejecutar ejercicios nacionales adicionales (IND‑12/IND‑14).</w:t>
      </w:r>
    </w:p>
    <w:p>
      <w:pPr>
        <w:pStyle w:val="Heading3"/>
        <w:keepNext/>
        <w:keepLines/>
      </w:pPr>
      <w:r>
        <w:t>Diapositiva 15 – Cierre</w:t>
      </w:r>
    </w:p>
    <w:p>
      <w:pPr>
        <w:pStyle w:val="ListBullet"/>
        <w:keepLines w:val="1"/>
        <w:keepNext w:val="1"/>
        <w:widowControl w:val="1"/>
      </w:pPr>
      <w:r>
        <w:t>Mensaje de síntesis: «Dónde queremos estar en 3–5 años».</w:t>
      </w:r>
    </w:p>
    <w:p>
      <w:pPr>
        <w:pStyle w:val="ListBullet"/>
        <w:keepLines w:val="1"/>
        <w:keepNext w:val="1"/>
        <w:widowControl w:val="1"/>
      </w:pPr>
      <w:r>
        <w:t>Llamada a que las distintas partes del ecosistema asuman su papel.</w:t>
      </w:r>
    </w:p>
    <w:p>
      <w:pPr>
        <w:pStyle w:val="ListBullet"/>
        <w:keepLines w:val="1"/>
        <w:widowControl w:val="1"/>
      </w:pPr>
      <w:r>
        <w:t>Recordatorio de que el sistema de indicadores es una brújula, no un fin en sí mismo.</w:t>
      </w:r>
    </w:p>
    <w:p>
      <w:pPr>
        <w:pStyle w:val="Heading2"/>
        <w:keepNext/>
        <w:keepLines/>
      </w:pPr>
      <w:r>
        <w:rPr>
          <w:color w:val="0066CC"/>
        </w:rPr>
        <w:t>3. Estilo y narrativa</w:t>
      </w:r>
    </w:p>
    <w:p>
      <w:pPr>
        <w:pStyle w:val="ListBullet"/>
        <w:keepLines w:val="1"/>
        <w:keepNext w:val="1"/>
        <w:widowControl w:val="1"/>
      </w:pPr>
      <w:r>
        <w:t>Lenguaje doble: técnico cuando haga falta (indicadores, índices), pero siempre traducido a implicaciones políticas y sociales.</w:t>
      </w:r>
    </w:p>
    <w:p>
      <w:pPr>
        <w:pStyle w:val="ListBullet"/>
        <w:keepLines w:val="1"/>
        <w:keepNext w:val="1"/>
        <w:widowControl w:val="1"/>
      </w:pPr>
      <w:r>
        <w:t>Transparencia sin dramatismos: mostrar brechas y riesgos sin caer en catastrofismos paralizantes.</w:t>
      </w:r>
    </w:p>
    <w:p>
      <w:pPr>
        <w:pStyle w:val="ListBullet"/>
        <w:keepLines w:val="1"/>
        <w:widowControl w:val="1"/>
      </w:pPr>
      <w:r>
        <w:t>Continuidad: subrayar que el sistema de indicadores permite un seguimiento periódico, no una foto única para el lucimiento.</w:t>
      </w:r>
    </w:p>
    <w:p>
      <w:pPr>
        <w:pStyle w:val="Heading2"/>
        <w:keepNext/>
        <w:keepLines/>
      </w:pPr>
      <w:r>
        <w:rPr>
          <w:color w:val="0066CC"/>
        </w:rPr>
        <w:t>4. Adaptaciones posibles</w:t>
      </w:r>
    </w:p>
    <w:p>
      <w:pPr>
        <w:pStyle w:val="ListBullet"/>
        <w:keepLines w:val="1"/>
        <w:keepNext w:val="1"/>
        <w:widowControl w:val="1"/>
      </w:pPr>
      <w:r>
        <w:t>Crear versiones abreviadas (5–6 diapositivas) para reuniones de alto nivel con tiempo muy reducido.</w:t>
      </w:r>
    </w:p>
    <w:p>
      <w:pPr>
        <w:pStyle w:val="ListBullet"/>
        <w:keepLines w:val="1"/>
        <w:keepNext w:val="1"/>
        <w:widowControl w:val="1"/>
      </w:pPr>
      <w:r>
        <w:t>Elaborar anexos técnicos con más detalle de metodología, mapeo normativo y PRAGMATIC para audiencias especializadas.</w:t>
      </w:r>
    </w:p>
    <w:p>
      <w:pPr>
        <w:pStyle w:val="ListBullet"/>
        <w:keepLines w:val="1"/>
        <w:widowControl w:val="1"/>
      </w:pPr>
      <w:r>
        <w:t>Generar versiones por sector (salud, energía, administración pública, financiero) con cortes específicos de los indicadores IND‑xx.</w:t>
      </w:r>
    </w:p>
    <w:p>
      <w:r>
        <w:t xml:space="preserve">Esta plantilla está pensada para que el reporte ejecutivo no sea un mero ritual, sino una herramienta efectiva para </w:t>
      </w:r>
      <w:r>
        <w:rPr>
          <w:b/>
        </w:rPr>
        <w:t>alinear voluntades, presupuestos y prioridades</w:t>
      </w:r>
      <w:r>
        <w:t xml:space="preserve"> en torno a la ciber‑resiliencia nacional.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