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</w:t>
      </w:r>
    </w:p>
    <w:p>
      <w:r>
        <w:t xml:space="preserve">Este documento describe la </w:t>
      </w:r>
      <w:r>
        <w:rPr>
          <w:b/>
        </w:rPr>
        <w:t>estructura recomendada</w:t>
      </w:r>
      <w:r>
        <w:t xml:space="preserve"> de un reporte ejecutivo en formato presentación (PowerPoint, Keynote, Google Slides…) para comunicar los resultados de la encuesta de ciberseguridad, continuidad de negocio y ciber‑resiliencia.</w:t>
      </w:r>
    </w:p>
    <w:p>
      <w:r>
        <w:t>El objetivo es que la dirección pueda entender, en pocas diapositivas:</w:t>
      </w:r>
    </w:p>
    <w:p>
      <w:pPr>
        <w:pStyle w:val="ListBullet"/>
        <w:keepLines w:val="1"/>
        <w:keepNext w:val="1"/>
        <w:widowControl w:val="1"/>
      </w:pPr>
      <w:r>
        <w:t>Dónde estamos.</w:t>
      </w:r>
    </w:p>
    <w:p>
      <w:pPr>
        <w:pStyle w:val="ListBullet"/>
        <w:keepLines w:val="1"/>
        <w:keepNext w:val="1"/>
        <w:widowControl w:val="1"/>
      </w:pPr>
      <w:r>
        <w:t>Dónde deberíamos estar (referencias normativas y de buenas prácticas).</w:t>
      </w:r>
    </w:p>
    <w:p>
      <w:pPr>
        <w:pStyle w:val="ListBullet"/>
        <w:keepLines w:val="1"/>
        <w:keepNext w:val="1"/>
        <w:widowControl w:val="1"/>
      </w:pPr>
      <w:r>
        <w:t>Qué riesgos y oportunidades se derivan de la situación actual.</w:t>
      </w:r>
    </w:p>
    <w:p>
      <w:pPr>
        <w:pStyle w:val="ListBullet"/>
        <w:keepLines w:val="1"/>
        <w:widowControl w:val="1"/>
      </w:pPr>
      <w:r>
        <w:t>Qué plan de acción proponemos.</w:t>
      </w:r>
    </w:p>
    <w:p>
      <w:pPr>
        <w:pStyle w:val="Heading2"/>
        <w:keepNext/>
        <w:keepLines/>
      </w:pPr>
      <w:r>
        <w:rPr>
          <w:color w:val="0066CC"/>
        </w:rPr>
        <w:t>1. Estructura general de la presentación</w:t>
      </w:r>
    </w:p>
    <w:p>
      <w:r>
        <w:t xml:space="preserve">Se recomienda una presentación de entre </w:t>
      </w:r>
      <w:r>
        <w:rPr>
          <w:b/>
        </w:rPr>
        <w:t>10 y 20 diapositivas</w:t>
      </w:r>
      <w:r>
        <w:t>, organizada en los siguientes bloques:</w:t>
      </w:r>
    </w:p>
    <w:p>
      <w:pPr>
        <w:pStyle w:val="ListNumber"/>
        <w:keepLines w:val="1"/>
        <w:keepNext w:val="1"/>
        <w:widowControl w:val="1"/>
      </w:pPr>
      <w:r>
        <w:t>Portada</w:t>
      </w:r>
    </w:p>
    <w:p>
      <w:pPr>
        <w:pStyle w:val="ListNumber"/>
        <w:keepLines w:val="1"/>
        <w:keepNext w:val="1"/>
        <w:widowControl w:val="1"/>
      </w:pPr>
      <w:r>
        <w:t>Mensaje ejecutivo</w:t>
      </w:r>
    </w:p>
    <w:p>
      <w:pPr>
        <w:pStyle w:val="ListNumber"/>
        <w:keepLines w:val="1"/>
        <w:keepNext w:val="1"/>
        <w:widowControl w:val="1"/>
      </w:pPr>
      <w:r>
        <w:t>Alcance y metodología</w:t>
      </w:r>
    </w:p>
    <w:p>
      <w:pPr>
        <w:pStyle w:val="ListNumber"/>
        <w:keepLines w:val="1"/>
        <w:keepNext w:val="1"/>
        <w:widowControl w:val="1"/>
      </w:pPr>
      <w:r>
        <w:t>Foto global de madurez (IGM)</w:t>
      </w:r>
    </w:p>
    <w:p>
      <w:pPr>
        <w:pStyle w:val="ListNumber"/>
        <w:keepLines w:val="1"/>
        <w:keepNext w:val="1"/>
        <w:widowControl w:val="1"/>
      </w:pPr>
      <w:r>
        <w:t>Detalle por dominios (IMD)</w:t>
      </w:r>
    </w:p>
    <w:p>
      <w:pPr>
        <w:pStyle w:val="ListNumber"/>
        <w:keepLines w:val="1"/>
        <w:keepNext w:val="1"/>
        <w:widowControl w:val="1"/>
      </w:pPr>
      <w:r>
        <w:t>Hallazgos clave por bloques temáticos</w:t>
      </w:r>
    </w:p>
    <w:p>
      <w:pPr>
        <w:pStyle w:val="ListNumber"/>
        <w:keepLines w:val="1"/>
        <w:keepNext w:val="1"/>
        <w:widowControl w:val="1"/>
      </w:pPr>
      <w:r>
        <w:t>Riesgos y brechas normativas</w:t>
      </w:r>
    </w:p>
    <w:p>
      <w:pPr>
        <w:pStyle w:val="ListNumber"/>
        <w:keepLines w:val="1"/>
        <w:keepNext w:val="1"/>
        <w:widowControl w:val="1"/>
      </w:pPr>
      <w:r>
        <w:t>Prioridades de mejora e iniciativas clave</w:t>
      </w:r>
    </w:p>
    <w:p>
      <w:pPr>
        <w:pStyle w:val="ListNumber"/>
        <w:keepLines w:val="1"/>
        <w:keepNext w:val="1"/>
        <w:widowControl w:val="1"/>
      </w:pPr>
      <w:r>
        <w:t>Estimación de ROI y beneficios esperados</w:t>
      </w:r>
    </w:p>
    <w:p>
      <w:pPr>
        <w:pStyle w:val="ListNumber"/>
        <w:keepLines w:val="1"/>
        <w:keepNext w:val="1"/>
        <w:widowControl w:val="1"/>
      </w:pPr>
      <w:r>
        <w:t>Roadmap de implantación</w:t>
      </w:r>
    </w:p>
    <w:p>
      <w:pPr>
        <w:pStyle w:val="ListNumber"/>
        <w:keepLines w:val="1"/>
        <w:widowControl w:val="1"/>
      </w:pPr>
      <w:r>
        <w:t>Cierre y próximos pasos</w:t>
      </w:r>
    </w:p>
    <w:p>
      <w:r>
        <w:t>A continuación se detalla cada diapositiva sugerida.</w:t>
      </w:r>
    </w:p>
    <w:p>
      <w:pPr>
        <w:pStyle w:val="Heading2"/>
        <w:keepNext/>
        <w:keepLines/>
      </w:pPr>
      <w:r>
        <w:rPr>
          <w:color w:val="0066CC"/>
        </w:rPr>
        <w:t>2. Desglose de diapositivas</w:t>
      </w:r>
    </w:p>
    <w:p>
      <w:pPr>
        <w:pStyle w:val="Heading3"/>
        <w:keepNext/>
        <w:keepLines/>
      </w:pPr>
      <w: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«Diagnóstico de Ciberseguridad y Continuidad de Negocio» (ajustar según organización).</w:t>
      </w:r>
    </w:p>
    <w:p>
      <w:pPr>
        <w:pStyle w:val="ListBullet"/>
        <w:keepLines w:val="1"/>
        <w:keepNext w:val="1"/>
        <w:widowControl w:val="1"/>
      </w:pPr>
      <w:r>
        <w:t>Subtítulo: «Resultados de la encuesta de madurez y análisis de ciber‑resiliencia».</w:t>
      </w:r>
    </w:p>
    <w:p>
      <w:pPr>
        <w:pStyle w:val="ListBullet"/>
        <w:keepLines w:val="1"/>
        <w:keepNext w:val="1"/>
        <w:widowControl w:val="1"/>
      </w:pPr>
      <w:r>
        <w:t>Datos contextuales: nombre de la organización, área responsable, fecha.</w:t>
      </w:r>
    </w:p>
    <w:p>
      <w:pPr>
        <w:pStyle w:val="ListBullet"/>
        <w:keepLines w:val="1"/>
        <w:widowControl w:val="1"/>
      </w:pPr>
      <w:r>
        <w:t>Opcional: pequeña frase inspiradora del tipo «La resiliencia no es un destino, sino una forma de viajar».</w:t>
      </w:r>
    </w:p>
    <w:p>
      <w:pPr>
        <w:pStyle w:val="Heading3"/>
        <w:keepNext/>
        <w:keepLines/>
      </w:pPr>
      <w:r>
        <w:t>Diapositiva 2 – Mensaje ejecutivo</w:t>
      </w:r>
    </w:p>
    <w:p>
      <w:pPr>
        <w:pStyle w:val="ListBullet"/>
        <w:keepLines w:val="1"/>
        <w:keepNext w:val="1"/>
        <w:widowControl w:val="1"/>
      </w:pPr>
      <w:r>
        <w:t>Título: «Resumen ejecutivo».</w:t>
      </w:r>
    </w:p>
    <w:p>
      <w:pPr>
        <w:pStyle w:val="ListBullet"/>
        <w:keepLines w:val="1"/>
        <w:keepNext w:val="1"/>
        <w:widowControl w:val="1"/>
      </w:pPr>
      <w:r>
        <w:t>3–5 puntos clave:</w:t>
      </w:r>
    </w:p>
    <w:p>
      <w:pPr>
        <w:pStyle w:val="ListBullet"/>
        <w:keepLines w:val="1"/>
        <w:keepNext w:val="1"/>
        <w:widowControl w:val="1"/>
      </w:pPr>
      <w:r>
        <w:t>Nivel global de madurez (IGM) con calificación cualitativa (básico, intermedio, avanzado…).</w:t>
      </w:r>
    </w:p>
    <w:p>
      <w:pPr>
        <w:pStyle w:val="ListBullet"/>
        <w:keepLines w:val="1"/>
        <w:keepNext w:val="1"/>
        <w:widowControl w:val="1"/>
      </w:pPr>
      <w:r>
        <w:t>Principales fortalezas (dominios con mejor IMD).</w:t>
      </w:r>
    </w:p>
    <w:p>
      <w:pPr>
        <w:pStyle w:val="ListBullet"/>
        <w:keepLines w:val="1"/>
        <w:keepNext w:val="1"/>
        <w:widowControl w:val="1"/>
      </w:pPr>
      <w:r>
        <w:t>Principales debilidades (dominios con menor IMD o brechas normativas).</w:t>
      </w:r>
    </w:p>
    <w:p>
      <w:pPr>
        <w:pStyle w:val="ListBullet"/>
        <w:keepLines w:val="1"/>
        <w:widowControl w:val="1"/>
      </w:pPr>
      <w:r>
        <w:t>2–3 mensajes de riesgo y oportunidad (por ejemplo, necesidad de integrar mejor BCM y ciberseguridad, o de reforzar formación y SIEM).</w:t>
      </w:r>
    </w:p>
    <w:p>
      <w:pPr>
        <w:pStyle w:val="Heading3"/>
        <w:keepNext/>
        <w:keepLines/>
      </w:pPr>
      <w:r>
        <w:t>Diapositiva 3 – Alcance y metodología</w:t>
      </w:r>
    </w:p>
    <w:p>
      <w:pPr>
        <w:pStyle w:val="ListBullet"/>
        <w:keepLines w:val="1"/>
        <w:keepNext w:val="1"/>
        <w:widowControl w:val="1"/>
      </w:pPr>
      <w:r>
        <w:t>Título: «Alcance y enfoque metodológico».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Organizaciones/unidades incluidas, sectores, fechas de aplicación.</w:t>
      </w:r>
    </w:p>
    <w:p>
      <w:pPr>
        <w:pStyle w:val="ListBullet"/>
        <w:keepLines w:val="1"/>
        <w:keepNext w:val="1"/>
        <w:widowControl w:val="1"/>
      </w:pPr>
      <w:r>
        <w:t>Referencias normativas y de buenas prácticas usadas (ENS, NIS2, DORA, ISO 27001, ISO 22301…).</w:t>
      </w:r>
    </w:p>
    <w:p>
      <w:pPr>
        <w:pStyle w:val="ListBullet"/>
        <w:keepLines w:val="1"/>
        <w:widowControl w:val="1"/>
      </w:pPr>
      <w:r>
        <w:t>Breve explicación de la escala de madurez (0–3) y del cálculo del IGM e IMD.</w:t>
      </w:r>
    </w:p>
    <w:p>
      <w:pPr>
        <w:pStyle w:val="Heading3"/>
        <w:keepNext/>
        <w:keepLines/>
      </w:pPr>
      <w:r>
        <w:t>Diapositiva 4 – Foto global de madurez (IGM)</w:t>
      </w:r>
    </w:p>
    <w:p>
      <w:pPr>
        <w:pStyle w:val="ListBullet"/>
        <w:keepLines w:val="1"/>
        <w:keepNext w:val="1"/>
        <w:widowControl w:val="1"/>
      </w:pPr>
      <w:r>
        <w:t>Título: «Índice Global de Madurez (IGM)».</w:t>
      </w:r>
    </w:p>
    <w:p>
      <w:pPr>
        <w:pStyle w:val="ListBullet"/>
        <w:keepLines w:val="1"/>
        <w:keepNext w:val="1"/>
        <w:widowControl w:val="1"/>
      </w:pPr>
      <w:r>
        <w:t>Gráfico recomendado:</w:t>
      </w:r>
    </w:p>
    <w:p>
      <w:pPr>
        <w:pStyle w:val="ListBullet"/>
        <w:keepLines w:val="1"/>
        <w:keepNext w:val="1"/>
        <w:widowControl w:val="1"/>
      </w:pPr>
      <w:r>
        <w:t>Velocímetro o barra horizontal con la posición actual y, si existe, un objetivo deseado.</w:t>
      </w:r>
    </w:p>
    <w:p>
      <w:pPr>
        <w:pStyle w:val="ListBullet"/>
        <w:keepLines w:val="1"/>
        <w:keepNext w:val="1"/>
        <w:widowControl w:val="1"/>
      </w:pPr>
      <w:r>
        <w:t>Añadir una tabla pequeña:</w:t>
      </w:r>
    </w:p>
    <w:p>
      <w:pPr>
        <w:pStyle w:val="ListBullet"/>
        <w:keepLines w:val="1"/>
        <w:keepNext w:val="1"/>
        <w:widowControl w:val="1"/>
      </w:pPr>
      <w:r>
        <w:t>IGM en valor 0–3 y equivalente 0–100.</w:t>
      </w:r>
    </w:p>
    <w:p>
      <w:pPr>
        <w:pStyle w:val="ListBullet"/>
        <w:keepLines w:val="1"/>
        <w:widowControl w:val="1"/>
      </w:pPr>
      <w:r>
        <w:t>Comparación con año anterior (si la hay).</w:t>
      </w:r>
    </w:p>
    <w:p>
      <w:pPr>
        <w:pStyle w:val="Heading3"/>
        <w:keepNext/>
        <w:keepLines/>
      </w:pPr>
      <w:r>
        <w:t>Diapositiva 5 – Madurez por dominios (IMD)</w:t>
      </w:r>
    </w:p>
    <w:p>
      <w:pPr>
        <w:pStyle w:val="ListBullet"/>
        <w:keepLines w:val="1"/>
        <w:keepNext w:val="1"/>
        <w:widowControl w:val="1"/>
      </w:pPr>
      <w:r>
        <w:t>Título: «Madurez por dominios».</w:t>
      </w:r>
    </w:p>
    <w:p>
      <w:pPr>
        <w:pStyle w:val="ListBullet"/>
        <w:keepLines w:val="1"/>
        <w:keepNext w:val="1"/>
        <w:widowControl w:val="1"/>
      </w:pPr>
      <w:r>
        <w:t>Gráfico recomendado:</w:t>
      </w:r>
    </w:p>
    <w:p>
      <w:pPr>
        <w:pStyle w:val="ListBullet"/>
        <w:keepLines w:val="1"/>
        <w:keepNext w:val="1"/>
        <w:widowControl w:val="1"/>
      </w:pPr>
      <w:r>
        <w:t>Radar con los IMD de dominios clave (GOV, RISK, VULN, PENT, SIEM, BCM, AWARE, MET, SUP/ECO…).</w:t>
      </w:r>
    </w:p>
    <w:p>
      <w:pPr>
        <w:pStyle w:val="ListBullet"/>
        <w:keepLines w:val="1"/>
        <w:keepNext w:val="1"/>
        <w:widowControl w:val="1"/>
      </w:pPr>
      <w:r>
        <w:t>Comentario breve:</w:t>
      </w:r>
    </w:p>
    <w:p>
      <w:pPr>
        <w:pStyle w:val="ListBullet"/>
        <w:keepLines w:val="1"/>
        <w:widowControl w:val="1"/>
      </w:pPr>
      <w:r>
        <w:t>Mencionar los dominios «en verde», «en ámbar» y «en rojo» según umbrales definidos.</w:t>
      </w:r>
    </w:p>
    <w:p>
      <w:pPr>
        <w:pStyle w:val="Heading3"/>
        <w:keepNext/>
        <w:keepLines/>
      </w:pPr>
      <w:r>
        <w:t>Diapositivas 6–8 – Hallazgos por bloques temáticos</w:t>
      </w:r>
    </w:p>
    <w:p>
      <w:r>
        <w:t>Se pueden dedicar 3 diapositivas a bloques:</w:t>
      </w:r>
    </w:p>
    <w:p>
      <w:pPr>
        <w:pStyle w:val="ListNumber"/>
        <w:keepLines w:val="1"/>
        <w:keepNext w:val="1"/>
        <w:widowControl w:val="1"/>
      </w:pPr>
      <w:r>
        <w:t>Gobierno, riesgos, vulnerabilidades y pruebas técnicas.</w:t>
      </w:r>
    </w:p>
    <w:p>
      <w:pPr>
        <w:pStyle w:val="ListNumber"/>
        <w:keepLines w:val="1"/>
        <w:keepNext w:val="1"/>
        <w:widowControl w:val="1"/>
      </w:pPr>
      <w:r>
        <w:t>Continuidad de negocio, recuperación y SIEM.</w:t>
      </w:r>
    </w:p>
    <w:p>
      <w:pPr>
        <w:pStyle w:val="ListNumber"/>
        <w:keepLines w:val="1"/>
        <w:widowControl w:val="1"/>
      </w:pPr>
      <w:r>
        <w:t>Formación, cultura, métricas, proveedores y ecosistema.</w:t>
      </w:r>
    </w:p>
    <w:p>
      <w:r>
        <w:t>En cada una:</w:t>
      </w:r>
    </w:p>
    <w:p>
      <w:pPr>
        <w:pStyle w:val="ListBullet"/>
        <w:keepLines w:val="1"/>
        <w:keepNext w:val="1"/>
        <w:widowControl w:val="1"/>
      </w:pPr>
      <w:r>
        <w:t>3–5 bullets con hallazgos.</w:t>
      </w:r>
    </w:p>
    <w:p>
      <w:pPr>
        <w:pStyle w:val="ListBullet"/>
        <w:keepLines w:val="1"/>
        <w:keepNext w:val="1"/>
        <w:widowControl w:val="1"/>
      </w:pPr>
      <w:r>
        <w:t>Indicación de por qué son relevantes (impacto en riesgo, continuidad, cumplimiento…).</w:t>
      </w:r>
    </w:p>
    <w:p>
      <w:pPr>
        <w:pStyle w:val="ListBullet"/>
        <w:keepLines w:val="1"/>
        <w:widowControl w:val="1"/>
      </w:pPr>
      <w:r>
        <w:t>Opcional: citas breves (anónimas) de entrevistas, si se ha trabajado con ese formato.</w:t>
      </w:r>
    </w:p>
    <w:p>
      <w:pPr>
        <w:pStyle w:val="Heading3"/>
        <w:keepNext/>
        <w:keepLines/>
      </w:pPr>
      <w:r>
        <w:t>Diapositiva 9 – Riesgos y brechas normativas</w:t>
      </w:r>
    </w:p>
    <w:p>
      <w:pPr>
        <w:pStyle w:val="ListBullet"/>
        <w:keepLines w:val="1"/>
        <w:keepNext w:val="1"/>
        <w:widowControl w:val="1"/>
      </w:pPr>
      <w:r>
        <w:t>Título: «Riesgos clave y brechas frente a marcos normativos».</w:t>
      </w:r>
    </w:p>
    <w:p>
      <w:pPr>
        <w:pStyle w:val="ListBullet"/>
        <w:keepLines w:val="1"/>
        <w:keepNext w:val="1"/>
        <w:widowControl w:val="1"/>
      </w:pPr>
      <w:r>
        <w:t>Tabla sugerida con columnas:</w:t>
      </w:r>
    </w:p>
    <w:p>
      <w:pPr>
        <w:pStyle w:val="ListBullet"/>
        <w:keepLines w:val="1"/>
        <w:keepNext w:val="1"/>
        <w:widowControl w:val="1"/>
      </w:pPr>
      <w:r>
        <w:t>Dominio/Pregunta (ej. BCM‑03, SIEM‑01).</w:t>
      </w:r>
    </w:p>
    <w:p>
      <w:pPr>
        <w:pStyle w:val="ListBullet"/>
        <w:keepLines w:val="1"/>
        <w:keepNext w:val="1"/>
        <w:widowControl w:val="1"/>
      </w:pPr>
      <w:r>
        <w:t>Riesgo asociado (resumen).</w:t>
      </w:r>
    </w:p>
    <w:p>
      <w:pPr>
        <w:pStyle w:val="ListBullet"/>
        <w:keepLines w:val="1"/>
        <w:keepNext w:val="1"/>
        <w:widowControl w:val="1"/>
      </w:pPr>
      <w:r>
        <w:t>Marco afectado (ENS, NIS2, DORA, ISO 27001, ISO 22301…).</w:t>
      </w:r>
    </w:p>
    <w:p>
      <w:pPr>
        <w:pStyle w:val="ListBullet"/>
        <w:keepLines w:val="1"/>
        <w:widowControl w:val="1"/>
      </w:pPr>
      <w:r>
        <w:t>Nivel de urgencia (Alto/Medio/Bajo).</w:t>
      </w:r>
    </w:p>
    <w:p>
      <w:pPr>
        <w:pStyle w:val="Heading3"/>
        <w:keepNext/>
        <w:keepLines/>
      </w:pPr>
      <w:r>
        <w:t>Diapositiva 10 – Prioridades de mejora</w:t>
      </w:r>
    </w:p>
    <w:p>
      <w:pPr>
        <w:pStyle w:val="ListBullet"/>
        <w:keepLines w:val="1"/>
        <w:keepNext w:val="1"/>
        <w:widowControl w:val="1"/>
      </w:pPr>
      <w:r>
        <w:t>Título: «Iniciativas prioritarias».</w:t>
      </w:r>
    </w:p>
    <w:p>
      <w:pPr>
        <w:pStyle w:val="ListBullet"/>
        <w:keepLines w:val="1"/>
        <w:keepNext w:val="1"/>
        <w:widowControl w:val="1"/>
      </w:pPr>
      <w:r>
        <w:t>Listado de 5–10 iniciativas, cada una con:</w:t>
      </w:r>
    </w:p>
    <w:p>
      <w:pPr>
        <w:pStyle w:val="ListBullet"/>
        <w:keepLines w:val="1"/>
        <w:keepNext w:val="1"/>
        <w:widowControl w:val="1"/>
      </w:pPr>
      <w:r>
        <w:t>Nombre corto (ej. «Definir y probar plan de continuidad TIC»).</w:t>
      </w:r>
    </w:p>
    <w:p>
      <w:pPr>
        <w:pStyle w:val="ListBullet"/>
        <w:keepLines w:val="1"/>
        <w:keepNext w:val="1"/>
        <w:widowControl w:val="1"/>
      </w:pPr>
      <w:r>
        <w:t>Dominio principal.</w:t>
      </w:r>
    </w:p>
    <w:p>
      <w:pPr>
        <w:pStyle w:val="ListBullet"/>
        <w:keepLines w:val="1"/>
        <w:keepNext w:val="1"/>
        <w:widowControl w:val="1"/>
      </w:pPr>
      <w:r>
        <w:t>Impacto esperado en IGM/IMD.</w:t>
      </w:r>
    </w:p>
    <w:p>
      <w:pPr>
        <w:pStyle w:val="ListBullet"/>
        <w:keepLines w:val="1"/>
        <w:widowControl w:val="1"/>
      </w:pPr>
      <w:r>
        <w:t>Horizonte temporal (corto, medio, largo plazo).</w:t>
      </w:r>
    </w:p>
    <w:p>
      <w:r>
        <w:t>Se pueden usar iconos o códigos de color para hacer más visual la priorización.</w:t>
      </w:r>
    </w:p>
    <w:p>
      <w:pPr>
        <w:pStyle w:val="Heading3"/>
        <w:keepNext/>
        <w:keepLines/>
      </w:pPr>
      <w:r>
        <w:t>Diapositiva 11 – ROI y beneficios esperados</w:t>
      </w:r>
    </w:p>
    <w:p>
      <w:pPr>
        <w:pStyle w:val="ListBullet"/>
        <w:keepLines w:val="1"/>
        <w:keepNext w:val="1"/>
        <w:widowControl w:val="1"/>
      </w:pPr>
      <w:r>
        <w:t>Título: «Valor de la inversión en resiliencia».</w:t>
      </w:r>
    </w:p>
    <w:p>
      <w:pPr>
        <w:pStyle w:val="ListBullet"/>
        <w:keepLines w:val="1"/>
        <w:keepNext w:val="1"/>
        <w:widowControl w:val="1"/>
      </w:pPr>
      <w:r>
        <w:t>Gráfico o tabla con:</w:t>
      </w:r>
    </w:p>
    <w:p>
      <w:pPr>
        <w:pStyle w:val="ListBullet"/>
        <w:keepLines w:val="1"/>
        <w:keepNext w:val="1"/>
        <w:widowControl w:val="1"/>
      </w:pPr>
      <w:r>
        <w:t>Coste estimado de iniciativas clave.</w:t>
      </w:r>
    </w:p>
    <w:p>
      <w:pPr>
        <w:pStyle w:val="ListBullet"/>
        <w:keepLines w:val="1"/>
        <w:keepNext w:val="1"/>
        <w:widowControl w:val="1"/>
      </w:pPr>
      <w:r>
        <w:t>Beneficio esperado (pérdidas evitadas) y ROI aproximado.</w:t>
      </w:r>
    </w:p>
    <w:p>
      <w:pPr>
        <w:pStyle w:val="ListBullet"/>
        <w:keepLines w:val="1"/>
        <w:keepNext w:val="1"/>
        <w:widowControl w:val="1"/>
      </w:pPr>
      <w:r>
        <w:t>Mensajes breves que conecten:</w:t>
      </w:r>
    </w:p>
    <w:p>
      <w:pPr>
        <w:pStyle w:val="ListBullet"/>
        <w:keepLines w:val="1"/>
        <w:keepNext w:val="1"/>
        <w:widowControl w:val="1"/>
      </w:pPr>
      <w:r>
        <w:t>Reducción de downtime.</w:t>
      </w:r>
    </w:p>
    <w:p>
      <w:pPr>
        <w:pStyle w:val="ListBullet"/>
        <w:keepLines w:val="1"/>
        <w:keepNext w:val="1"/>
        <w:widowControl w:val="1"/>
      </w:pPr>
      <w:r>
        <w:t>Mitigación de sanciones o incumplimientos.</w:t>
      </w:r>
    </w:p>
    <w:p>
      <w:pPr>
        <w:pStyle w:val="ListBullet"/>
        <w:keepLines w:val="1"/>
        <w:widowControl w:val="1"/>
      </w:pPr>
      <w:r>
        <w:t>Mejora de imagen y confianza de clientes/ciudadanía.</w:t>
      </w:r>
    </w:p>
    <w:p>
      <w:pPr>
        <w:pStyle w:val="Heading3"/>
        <w:keepNext/>
        <w:keepLines/>
      </w:pPr>
      <w:r>
        <w:t>Diapositiva 12 – Roadmap de implantación</w:t>
      </w:r>
    </w:p>
    <w:p>
      <w:pPr>
        <w:pStyle w:val="ListBullet"/>
        <w:keepLines w:val="1"/>
        <w:keepNext w:val="1"/>
        <w:widowControl w:val="1"/>
      </w:pPr>
      <w:r>
        <w:t>Título: «Hoja de ruta propuesta».</w:t>
      </w:r>
    </w:p>
    <w:p>
      <w:pPr>
        <w:pStyle w:val="ListBullet"/>
        <w:keepLines w:val="1"/>
        <w:keepNext w:val="1"/>
        <w:widowControl w:val="1"/>
      </w:pPr>
      <w:r>
        <w:t>Elementos sugeridos:</w:t>
      </w:r>
    </w:p>
    <w:p>
      <w:pPr>
        <w:pStyle w:val="ListBullet"/>
        <w:keepLines w:val="1"/>
        <w:keepNext w:val="1"/>
        <w:widowControl w:val="1"/>
      </w:pPr>
      <w:r>
        <w:t>Línea de tiempo 12–36 meses.</w:t>
      </w:r>
    </w:p>
    <w:p>
      <w:pPr>
        <w:pStyle w:val="ListBullet"/>
        <w:keepLines w:val="1"/>
        <w:keepNext w:val="1"/>
        <w:widowControl w:val="1"/>
      </w:pPr>
      <w:r>
        <w:t>Fases (Fundamentos, Consolidación, Optimización, Innovación).</w:t>
      </w:r>
    </w:p>
    <w:p>
      <w:pPr>
        <w:pStyle w:val="ListBullet"/>
        <w:keepLines w:val="1"/>
        <w:widowControl w:val="1"/>
      </w:pPr>
      <w:r>
        <w:t>Iniciativas repartidas por fase.</w:t>
      </w:r>
    </w:p>
    <w:p>
      <w:pPr>
        <w:pStyle w:val="Heading3"/>
        <w:keepNext/>
        <w:keepLines/>
      </w:pPr>
      <w:r>
        <w:t>Diapositiva 13 – Cierre y próximos pasos</w:t>
      </w:r>
    </w:p>
    <w:p>
      <w:pPr>
        <w:pStyle w:val="ListBullet"/>
        <w:keepLines w:val="1"/>
        <w:keepNext w:val="1"/>
        <w:widowControl w:val="1"/>
      </w:pPr>
      <w:r>
        <w:t>Título: «Conclusiones y próximos pasos».</w:t>
      </w:r>
    </w:p>
    <w:p>
      <w:pPr>
        <w:pStyle w:val="ListBullet"/>
        <w:keepLines w:val="1"/>
        <w:keepNext w:val="1"/>
        <w:widowControl w:val="1"/>
      </w:pPr>
      <w:r>
        <w:t>3–5 mensajes finales:</w:t>
      </w:r>
    </w:p>
    <w:p>
      <w:pPr>
        <w:pStyle w:val="ListBullet"/>
        <w:keepLines w:val="1"/>
        <w:keepNext w:val="1"/>
        <w:widowControl w:val="1"/>
      </w:pPr>
      <w:r>
        <w:t>Visión deseada de resiliencia.</w:t>
      </w:r>
    </w:p>
    <w:p>
      <w:pPr>
        <w:pStyle w:val="ListBullet"/>
        <w:keepLines w:val="1"/>
        <w:keepNext w:val="1"/>
        <w:widowControl w:val="1"/>
      </w:pPr>
      <w:r>
        <w:t>Compromisos inmediatos (aprobación de plan, asignación de responsables, inicio de proyectos clave).</w:t>
      </w:r>
    </w:p>
    <w:p>
      <w:pPr>
        <w:pStyle w:val="ListBullet"/>
        <w:keepLines w:val="1"/>
        <w:widowControl w:val="1"/>
      </w:pPr>
      <w:r>
        <w:t>Invitación a revisar periódicamente el IGM e IMD como parte del ciclo de gestión.</w:t>
      </w:r>
    </w:p>
    <w:p>
      <w:pPr>
        <w:pStyle w:val="Heading2"/>
        <w:keepNext/>
        <w:keepLines/>
      </w:pPr>
      <w:r>
        <w:rPr>
          <w:color w:val="0066CC"/>
        </w:rPr>
        <w:t>3. Estilo y tono recomendados</w:t>
      </w:r>
    </w:p>
    <w:p>
      <w:pPr>
        <w:pStyle w:val="ListBullet"/>
        <w:keepLines w:val="1"/>
        <w:keepNext w:val="1"/>
        <w:widowControl w:val="1"/>
      </w:pPr>
      <w:r>
        <w:t>Claro y directo, evitando jerga excesiva en público no técnico.</w:t>
      </w:r>
    </w:p>
    <w:p>
      <w:pPr>
        <w:pStyle w:val="ListBullet"/>
        <w:keepLines w:val="1"/>
        <w:keepNext w:val="1"/>
        <w:widowControl w:val="1"/>
      </w:pPr>
      <w:r>
        <w:t>Visual: usar gráficos, iconos y colores para resaltar prioridades.</w:t>
      </w:r>
    </w:p>
    <w:p>
      <w:pPr>
        <w:pStyle w:val="ListBullet"/>
        <w:keepLines w:val="1"/>
        <w:keepNext w:val="1"/>
        <w:widowControl w:val="1"/>
      </w:pPr>
      <w:r>
        <w:t>Constructivo: subrayar tanto fortalezas como debilidades.</w:t>
      </w:r>
    </w:p>
    <w:p>
      <w:pPr>
        <w:pStyle w:val="ListBullet"/>
        <w:keepLines w:val="1"/>
        <w:widowControl w:val="1"/>
      </w:pPr>
      <w:r>
        <w:t>Si el contexto lo permite, introducir ligeros toques de humor o metáforas (por ejemplo, comparar la resiliencia con la capacidad de un barco de seguir navegando pese a la tormenta).</w:t>
      </w:r>
    </w:p>
    <w:p>
      <w:pPr>
        <w:pStyle w:val="Heading2"/>
        <w:keepNext/>
        <w:keepLines/>
      </w:pPr>
      <w:r>
        <w:rPr>
          <w:color w:val="0066CC"/>
        </w:rPr>
        <w:t>4. Adaptaciones posibles</w:t>
      </w:r>
    </w:p>
    <w:p>
      <w:pPr>
        <w:pStyle w:val="ListBullet"/>
        <w:keepLines w:val="1"/>
        <w:keepNext w:val="1"/>
        <w:widowControl w:val="1"/>
      </w:pPr>
      <w:r>
        <w:t>Crear versiones específicas por sector (salud, energía, administración pública, financiero) con ejemplos y riesgos sectoriales.</w:t>
      </w:r>
    </w:p>
    <w:p>
      <w:pPr>
        <w:pStyle w:val="ListBullet"/>
        <w:keepLines w:val="1"/>
        <w:keepNext w:val="1"/>
        <w:widowControl w:val="1"/>
      </w:pPr>
      <w:r>
        <w:t>Preparar «mini‑presentaciones» de 5 diapositivas para comités con tiempo muy limitado.</w:t>
      </w:r>
    </w:p>
    <w:p>
      <w:pPr>
        <w:pStyle w:val="ListBullet"/>
        <w:keepLines w:val="1"/>
        <w:widowControl w:val="1"/>
      </w:pPr>
      <w:r>
        <w:t>Integrar la presentación en un cuadro de mando dinámico (por ejemplo, Power BI o similar) usando gráficos actualizables desde Excel.</w:t>
      </w:r>
    </w:p>
    <w:p>
      <w:r>
        <w:t>Con esta plantilla conceptual, podrás construir un reporte ejecutivo que hable el idioma de la dirección y conecte los hallazgos de la encuesta con decisiones concretas.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