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Nacionales de Ciberseguridad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marco integra el enfoque Goal-Question-Metric (GQM) con los criterios PRAGMATIC para evaluar y diseñar indicadores de ciberseguridad alineados con objetivos nacionales, siguiendo la filosofía de NIST SP 800-55 aplicada a un contexto país.</w:t>
      </w:r>
    </w:p>
    <w:p>
      <w:r>
        <w:t>El objetivo es asegurar que cada métrica:</w:t>
      </w:r>
      <w:r/>
      <w:r>
        <w:br/>
        <w:t>- Deriva de un objetivo de alto nivel claramente formulado (Goal).</w:t>
      </w:r>
      <w:r/>
      <w:r>
        <w:br/>
        <w:t>- Responde a preguntas específicas de gestión o política pública (Question).</w:t>
      </w:r>
      <w:r/>
      <w:r>
        <w:br/>
        <w:t>- Se operacionaliza en una o varias métricas bien definidas (Metric).</w:t>
      </w:r>
      <w:r/>
      <w:r>
        <w:br/>
        <w:t>- Se evalúa sistemáticamente según los criterios PRAGMATIC: Predictivo, Relevante, Accionable, Genuino, Significativo, Preciso, Oportuno, Independiente y Rentable.</w:t>
      </w:r>
    </w:p>
    <w:p>
      <w:pPr>
        <w:pStyle w:val="Heading2"/>
        <w:keepNext/>
        <w:keepLines/>
      </w:pPr>
      <w:r>
        <w:rPr>
          <w:color w:val="0066CC"/>
        </w:rPr>
        <w:t>2. Objetivos nacionales de referencia (nivel G)</w:t>
      </w:r>
    </w:p>
    <w:p>
      <w:r>
        <w:t>A modo ilustrativo, se definen cinco objetivos estratégicos nacionales de ciberseguridad:</w:t>
      </w:r>
    </w:p>
    <w:p>
      <w:r>
        <w:t>G1. Reducir la frecuencia y severidad de los ciberincidentes significativos que afectan a servicios esenciales y operadores importantes.</w:t>
      </w:r>
    </w:p>
    <w:p>
      <w:r>
        <w:t>G2. Incrementar la madurez y eficacia de los controles de ciberseguridad en organizaciones clave, en línea con NIST, ENS y NIS2.</w:t>
      </w:r>
    </w:p>
    <w:p>
      <w:r>
        <w:t>G3. Mejorar la resiliencia operativa y la capacidad de recuperación ante ciberincidentes de alto impacto.</w:t>
      </w:r>
    </w:p>
    <w:p>
      <w:r>
        <w:t>G4. Asegurar el cumplimiento efectivo de los marcos normativos (ENS, NIS2, RGPD y sectoriales), reduciendo el riesgo de sanciones, interrupciones y daños reputacionales.</w:t>
      </w:r>
    </w:p>
    <w:p>
      <w:r>
        <w:t>G5. Optimizar la inversión pública y privada en ciberseguridad, maximizando el riesgo mitigado por euro invertido.</w:t>
      </w:r>
    </w:p>
    <w:p>
      <w:pPr>
        <w:pStyle w:val="Heading2"/>
        <w:keepNext/>
        <w:keepLines/>
      </w:pPr>
      <w:r>
        <w:rPr>
          <w:color w:val="0066CC"/>
        </w:rPr>
        <w:t>3. De objetivos a preguntas (nivel Q)</w:t>
      </w:r>
    </w:p>
    <w:p>
      <w:r>
        <w:t>Cada objetivo se descompone en preguntas directrices que orientan la medición.</w:t>
      </w:r>
    </w:p>
    <w:p>
      <w:pPr>
        <w:pStyle w:val="Heading3"/>
        <w:keepNext/>
        <w:keepLines/>
      </w:pPr>
      <w:r>
        <w:t>G1 → Preguntas clave</w:t>
      </w:r>
    </w:p>
    <w:p>
      <w:r>
        <w:t>Q1.1. ¿Cuántos ciberincidentes significativos se producen anualmente en el conjunto de operadores esenciales e importantes?</w:t>
      </w:r>
    </w:p>
    <w:p>
      <w:r>
        <w:t>Q1.2. ¿Cuáles son las principales tipologías de ataque y cómo evolucionan en el tiempo (ransomware, DDoS, compromisos de correo, etc.)?</w:t>
      </w:r>
    </w:p>
    <w:p>
      <w:r>
        <w:t>Q1.3. ¿Cómo evolucionan el tiempo medio de detección (MTTD) y el tiempo medio de respuesta (MTTR) ante incidentes significativos?</w:t>
      </w:r>
    </w:p>
    <w:p>
      <w:r>
        <w:t>Q1.4. ¿Qué sectores y tipos de servicios muestran mayor concentración de incidentes graves?</w:t>
      </w:r>
    </w:p>
    <w:p>
      <w:pPr>
        <w:pStyle w:val="Heading3"/>
        <w:keepNext/>
        <w:keepLines/>
      </w:pPr>
      <w:r>
        <w:t>G2 → Preguntas clave</w:t>
      </w:r>
    </w:p>
    <w:p>
      <w:r>
        <w:t>Q2.1. ¿En qué medida los operadores esenciales e importantes han implantado controles técnicos y organizativos clave (MFA, gestión de vulnerabilidades, segmentación, monitorización continua)?</w:t>
      </w:r>
    </w:p>
    <w:p>
      <w:r>
        <w:t>Q2.2. ¿Cómo evoluciona la madurez de los programas de ciberseguridad y de medición (tipo NIST SP 800-55) en las organizaciones clave?</w:t>
      </w:r>
    </w:p>
    <w:p>
      <w:r>
        <w:t>Q2.3. ¿Qué brechas se observan entre los niveles de control declarados y la realidad reflejada por incidentes y auditorías?</w:t>
      </w:r>
    </w:p>
    <w:p>
      <w:pPr>
        <w:pStyle w:val="Heading3"/>
        <w:keepNext/>
        <w:keepLines/>
      </w:pPr>
      <w:r>
        <w:t>G3 → Preguntas clave</w:t>
      </w:r>
    </w:p>
    <w:p>
      <w:r>
        <w:t>Q3.1. ¿En qué medida las organizaciones críticas cumplen sus RTO/RPO en incidentes cibernéticos significativos?</w:t>
      </w:r>
    </w:p>
    <w:p>
      <w:r>
        <w:t>Q3.2. ¿Con qué frecuencia se realizan ejercicios de crisis cibernética y qué porcentaje de lecciones aprendidas se implementa efectivamente?</w:t>
      </w:r>
    </w:p>
    <w:p>
      <w:r>
        <w:t>Q3.3. ¿Cuál es el tiempo medio de restablecimiento de servicios esenciales tras un ciberataque grave?</w:t>
      </w:r>
    </w:p>
    <w:p>
      <w:pPr>
        <w:pStyle w:val="Heading3"/>
        <w:keepNext/>
        <w:keepLines/>
      </w:pPr>
      <w:r>
        <w:t>G4 → Preguntas clave</w:t>
      </w:r>
    </w:p>
    <w:p>
      <w:r>
        <w:t>Q4.1. ¿Cuál es el nivel de cumplimiento medio de ENS/NIS2/RGPD entre organizaciones sujetas?</w:t>
      </w:r>
    </w:p>
    <w:p>
      <w:r>
        <w:t>Q4.2. ¿Qué tipos de incumplimientos son más frecuentes y qué impacto tienen (sanciones, restricciones, obligaciones de remediación)?</w:t>
      </w:r>
    </w:p>
    <w:p>
      <w:r>
        <w:t>Q4.3. ¿Cómo evoluciona el número de auditorías, acciones de supervisión y medidas correctoras a lo largo del tiempo?</w:t>
      </w:r>
    </w:p>
    <w:p>
      <w:pPr>
        <w:pStyle w:val="Heading3"/>
        <w:keepNext/>
        <w:keepLines/>
      </w:pPr>
      <w:r>
        <w:t>G5 → Preguntas clave</w:t>
      </w:r>
    </w:p>
    <w:p>
      <w:r>
        <w:t>Q5.1. ¿Qué porcentaje del presupuesto de TI se destina a ciberseguridad en los distintos sectores estratégicos?</w:t>
      </w:r>
    </w:p>
    <w:p>
      <w:r>
        <w:t>Q5.2. ¿Cómo se relacionan los niveles de inversión con los niveles de incidentes, madurez y cumplimiento?</w:t>
      </w:r>
    </w:p>
    <w:p>
      <w:r>
        <w:t>Q5.3. ¿Existen estimaciones sistemáticas de pérdidas evitadas o riesgo mitigado asociado a programas de ciberseguridad?</w:t>
      </w:r>
    </w:p>
    <w:p>
      <w:pPr>
        <w:pStyle w:val="Heading2"/>
        <w:keepNext/>
        <w:keepLines/>
      </w:pPr>
      <w:r>
        <w:rPr>
          <w:color w:val="0066CC"/>
        </w:rPr>
        <w:t>4. De preguntas a métricas (nivel M)</w:t>
      </w:r>
    </w:p>
    <w:p>
      <w:r>
        <w:t>A continuación se presenta un conjunto base de métricas nacionales, cada una vinculada a objetivos (G) y preguntas (Q).</w:t>
      </w:r>
    </w:p>
    <w:p>
      <w:r>
        <w:t>M1. Número anual de ciberincidentes significativos notificados por operadores esenciales e importantes.</w:t>
      </w:r>
    </w:p>
    <w:p>
      <w:r>
        <w:t>M2. Tasa de incidencia (incidentes significativos por 100 organizaciones reguladas) por sector.</w:t>
      </w:r>
    </w:p>
    <w:p>
      <w:r>
        <w:t>M3. Distribución porcentual de incidentes por tipología de ataque.</w:t>
      </w:r>
    </w:p>
    <w:p>
      <w:r>
        <w:t>M4. Tiempo medio de detección (MTTD) de incidentes significativos.</w:t>
      </w:r>
    </w:p>
    <w:p>
      <w:r>
        <w:t>M5. Tiempo medio de respuesta (MTTR) de incidentes significativos.</w:t>
      </w:r>
    </w:p>
    <w:p>
      <w:r>
        <w:t>M6. Tiempo medio de recuperación de servicios críticos tras incidentes significativos.</w:t>
      </w:r>
    </w:p>
    <w:p>
      <w:r>
        <w:t>M7. Índice de implantación de controles clave (porcentaje de organizaciones con MFA generalizado, gestión de vulnerabilidades madura, segmentación efectiva, monitorización 24/7, etc.).</w:t>
      </w:r>
    </w:p>
    <w:p>
      <w:r>
        <w:t>M8. Índice de madurez de ciberseguridad (IGM) medio por sector.</w:t>
      </w:r>
    </w:p>
    <w:p>
      <w:r>
        <w:t>M9. Porcentaje de procesos críticos con RTO/RPO cumplidos en incidentes cibernéticos.</w:t>
      </w:r>
    </w:p>
    <w:p>
      <w:r>
        <w:t>M10. Número de ejercicios de crisis cibernética realizados al año por organización, y porcentaje medio de lecciones aprendidas implementadas.</w:t>
      </w:r>
    </w:p>
    <w:p>
      <w:r>
        <w:t>M11. Nivel medio de cumplimiento ENS/NIS2 (por ejemplo, porcentaje de controles cumplidos por dominio).</w:t>
      </w:r>
    </w:p>
    <w:p>
      <w:r>
        <w:t>M12. Número de sanciones y medidas correctoras relacionadas con ciberseguridad al año, por sector.</w:t>
      </w:r>
    </w:p>
    <w:p>
      <w:r>
        <w:t>M13. Porcentaje medio del presupuesto de TI dedicado a ciberseguridad.</w:t>
      </w:r>
    </w:p>
    <w:p>
      <w:r>
        <w:t>M14. Relación entre inversión en ciberseguridad e indicadores de resultado (incidentes, tiempos de respuesta, cumplimiento, etc.).</w:t>
      </w:r>
    </w:p>
    <w:p>
      <w:r>
        <w:t>M15. Estimación de pérdidas económicas evitadas (o riesgo mitigado) atribuible a programas de ciberseguridad.</w:t>
      </w:r>
    </w:p>
    <w:p>
      <w:r>
        <w:t>En los documentos complementarios se detalla la evaluación PRAGMATIC de cada métrica y su posible implementación en encuestas, sistemas de reporte y cuadros de mando.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