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para la Encuesta de Métricas de Ciberseguridad</w:t>
      </w:r>
    </w:p>
    <w:p>
      <w:pPr>
        <w:pStyle w:val="Heading2"/>
        <w:keepNext/>
        <w:keepLines/>
      </w:pPr>
      <w:r>
        <w:rPr>
          <w:color w:val="0066CC"/>
        </w:rPr>
        <w:t>1. Propósito general</w:t>
      </w:r>
    </w:p>
    <w:p>
      <w:r>
        <w:t>Esta guía acompaña al modelo de encuesta y explica cómo diseñar, administrar, interpretar y mantener en el tiempo una encuesta sobre métricas de ciberseguridad inspirada en NIST SP 800-55 (volúmenes 1 y 2) y alineada con el contexto regulatorio español (ENS, NIS2, RGPD y normativa sectorial).</w:t>
      </w:r>
    </w:p>
    <w:p>
      <w:r>
        <w:t>El objetivo no es solo recopilar datos, sino sentar las bases de un programa de medición coherente que vincule indicadores con decisiones de negocio, riesgos y resiliencia nacional.</w:t>
      </w:r>
    </w:p>
    <w:p>
      <w:pPr>
        <w:pStyle w:val="Heading2"/>
        <w:keepNext/>
        <w:keepLines/>
      </w:pPr>
      <w:r>
        <w:rPr>
          <w:color w:val="0066CC"/>
        </w:rPr>
        <w:t>2. Fundamento conceptual</w:t>
      </w:r>
    </w:p>
    <w:p>
      <w:r>
        <w:t>La encuesta se estructura en torno a los principios de NIST SP 800-55:</w:t>
      </w:r>
      <w:r/>
      <w:r>
        <w:br/>
        <w:t>- Las métricas se derivan de objetivos y decisiones, no de la disponibilidad caprichosa de datos.</w:t>
      </w:r>
      <w:r/>
      <w:r>
        <w:br/>
        <w:t>- La combinación de métricas de eficacia, eficiencia, impacto, cumplimiento y madurez proporciona una visión más rica que cualquier indicador aislado.</w:t>
      </w:r>
      <w:r/>
      <w:r>
        <w:br/>
        <w:t>- La calidad de los datos y la consistencia de las definiciones son condiciones necesarias para que las métricas no degeneren en decoración de PowerPoint.</w:t>
      </w:r>
    </w:p>
    <w:p>
      <w:r>
        <w:t>En paralelo, se ha tenido en cuenta la evolución del marco europeo (NIS2) y del Esquema Nacional de Seguridad, así como la práctica real de organismos como INCIBE y CCN-CERT en la generación de estadísticas agregadas.</w:t>
      </w:r>
    </w:p>
    <w:p>
      <w:pPr>
        <w:pStyle w:val="Heading2"/>
        <w:keepNext/>
        <w:keepLines/>
      </w:pPr>
      <w:r>
        <w:rPr>
          <w:color w:val="0066CC"/>
        </w:rPr>
        <w:t>3. Población objetivo y segmentación</w:t>
      </w:r>
    </w:p>
    <w:p>
      <w:r>
        <w:t>La encuesta está dirigida a organizaciones con un mínimo de formalización en materia de ciberseguridad, en particular aquellas que:</w:t>
      </w:r>
      <w:r/>
      <w:r>
        <w:br/>
        <w:t>- Están o podrían estar sujetas a NIS2 o al ENS.</w:t>
      </w:r>
      <w:r/>
      <w:r>
        <w:br/>
        <w:t>- Son operadores de servicios esenciales o importantes.</w:t>
      </w:r>
      <w:r/>
      <w:r>
        <w:br/>
        <w:t>- Mantienen infraestructuras críticas o servicios digitales de alto impacto.</w:t>
      </w:r>
    </w:p>
    <w:p>
      <w:r>
        <w:t>Se recomienda segmentar los resultados al menos por:</w:t>
      </w:r>
      <w:r/>
      <w:r>
        <w:br/>
        <w:t>- Sector (energía, salud, financiero, transporte, administración pública, servicios digitales, etc.).</w:t>
      </w:r>
      <w:r/>
      <w:r>
        <w:br/>
        <w:t>- Tamaño de la organización (por tramos de empleados y facturación).</w:t>
      </w:r>
      <w:r/>
      <w:r>
        <w:br/>
        <w:t>- Rol del encuestado (CISO, CIO, Dirección de Riesgos, Dirección General, etc.).</w:t>
      </w:r>
    </w:p>
    <w:p>
      <w:pPr>
        <w:pStyle w:val="Heading2"/>
        <w:keepNext/>
        <w:keepLines/>
      </w:pPr>
      <w:r>
        <w:rPr>
          <w:color w:val="0066CC"/>
        </w:rPr>
        <w:t>4. Diseño del cuestionario</w:t>
      </w:r>
    </w:p>
    <w:p>
      <w:r>
        <w:t>La encuesta combina preguntas cerradas (para facilitar el análisis estadístico) con preguntas abiertas (para capturar matices, ironías y la creatividad inagotable de la realidad organizativa).</w:t>
      </w:r>
    </w:p>
    <w:p>
      <w:r>
        <w:t>Las secciones cubren:</w:t>
      </w:r>
      <w:r/>
      <w:r>
        <w:br/>
        <w:t>- Gobernanza del programa de métricas.</w:t>
      </w:r>
      <w:r/>
      <w:r>
        <w:br/>
        <w:t>- Alcance y tipología de indicadores.</w:t>
      </w:r>
      <w:r/>
      <w:r>
        <w:br/>
        <w:t>- Métricas de incidentes y amenazas.</w:t>
      </w:r>
      <w:r/>
      <w:r>
        <w:br/>
        <w:t>- Controles técnicos y Zero Trust.</w:t>
      </w:r>
      <w:r/>
      <w:r>
        <w:br/>
        <w:t>- Cumplimiento normativo.</w:t>
      </w:r>
      <w:r/>
      <w:r>
        <w:br/>
        <w:t>- Capacidad organizativa y cultura.</w:t>
      </w:r>
      <w:r/>
      <w:r>
        <w:br/>
        <w:t>- Impacto, riesgo y resiliencia.</w:t>
      </w:r>
      <w:r/>
      <w:r>
        <w:br/>
        <w:t>- Inversión y ROI.</w:t>
      </w:r>
      <w:r/>
      <w:r>
        <w:br/>
        <w:t>- Alineamiento con marcos NIST/ENS/NIS2.</w:t>
      </w:r>
    </w:p>
    <w:p>
      <w:r>
        <w:t>Cada sección está pensada para mapearse tanto a requisitos normativos como a buenas prácticas de medición, lo que permite posteriores análisis de brecha (gap analysis) y priorización.</w:t>
      </w:r>
    </w:p>
    <w:p>
      <w:pPr>
        <w:pStyle w:val="Heading2"/>
        <w:keepNext/>
        <w:keepLines/>
      </w:pPr>
      <w:r>
        <w:rPr>
          <w:color w:val="0066CC"/>
        </w:rPr>
        <w:t>5. Administración de la encuesta</w:t>
      </w:r>
    </w:p>
    <w:p>
      <w:pPr>
        <w:pStyle w:val="Heading3"/>
        <w:keepNext/>
        <w:keepLines/>
      </w:pPr>
      <w:r>
        <w:t>5.1. Modalidad</w:t>
      </w:r>
    </w:p>
    <w:p>
      <w:r>
        <w:t>Se recomienda la administración online (herramienta de encuesta o formulario web) con autenticación básica para evitar respuestas duplicadas, pero sin introducir fricciones excesivas.</w:t>
      </w:r>
    </w:p>
    <w:p>
      <w:pPr>
        <w:pStyle w:val="Heading3"/>
        <w:keepNext/>
        <w:keepLines/>
      </w:pPr>
      <w:r>
        <w:t>5.2. Duración</w:t>
      </w:r>
    </w:p>
    <w:p>
      <w:r>
        <w:t>La encuesta está diseñada para completarse en aproximadamente 25-35 minutos por parte de un responsable con conocimiento razonable de la organización.</w:t>
      </w:r>
    </w:p>
    <w:p>
      <w:pPr>
        <w:pStyle w:val="Heading3"/>
        <w:keepNext/>
        <w:keepLines/>
      </w:pPr>
      <w:r>
        <w:t>5.3. Instrucciones al encuestado</w:t>
      </w:r>
    </w:p>
    <w:p>
      <w:pPr>
        <w:pStyle w:val="ListBullet"/>
        <w:keepLines w:val="1"/>
        <w:keepNext w:val="1"/>
        <w:widowControl w:val="1"/>
      </w:pPr>
      <w:r>
        <w:t>Responder en nombre de la organización, no solo del área de TI.</w:t>
      </w:r>
    </w:p>
    <w:p>
      <w:pPr>
        <w:pStyle w:val="ListBullet"/>
        <w:keepLines w:val="1"/>
        <w:keepNext w:val="1"/>
        <w:widowControl w:val="1"/>
      </w:pPr>
      <w:r>
        <w:t>Coordinarse internamente, si es necesario, para aquellos bloques que requieran información específica (finanzas, riesgos, operaciones).</w:t>
      </w:r>
    </w:p>
    <w:p>
      <w:pPr>
        <w:pStyle w:val="ListBullet"/>
        <w:keepLines w:val="1"/>
        <w:widowControl w:val="1"/>
      </w:pPr>
      <w:r>
        <w:t>Indicar con honestidad el estado actual, no el estado aspiracional que aparecerá en el próximo plan estratégico.</w:t>
      </w:r>
    </w:p>
    <w:p>
      <w:pPr>
        <w:pStyle w:val="Heading3"/>
        <w:keepNext/>
        <w:keepLines/>
      </w:pPr>
      <w:r>
        <w:t>5.4. Anonimato y confidencialidad</w:t>
      </w:r>
    </w:p>
    <w:p>
      <w:r>
        <w:t>Para maximizar la sinceridad de las respuestas, se recomienda:</w:t>
      </w:r>
      <w:r/>
      <w:r>
        <w:br/>
        <w:t>- Anonimizar los resultados para análisis agregados.</w:t>
      </w:r>
      <w:r/>
      <w:r>
        <w:br/>
        <w:t>- No utilizar los datos para auditoría individual de organizaciones, salvo acuerdo explícito.</w:t>
      </w:r>
    </w:p>
    <w:p>
      <w:pPr>
        <w:pStyle w:val="Heading2"/>
        <w:keepNext/>
        <w:keepLines/>
      </w:pPr>
      <w:r>
        <w:rPr>
          <w:color w:val="0066CC"/>
        </w:rPr>
        <w:t>6. Escalas de respuesta y codificación</w:t>
      </w:r>
    </w:p>
    <w:p>
      <w:r>
        <w:t>La mayoría de las preguntas cerradas utilizan escalas ordinales o nominales fáciles de codificar:</w:t>
      </w:r>
      <w:r/>
      <w:r>
        <w:br/>
        <w:t>- Escalas de frecuencia (sí, parcialmente, no, etc.).</w:t>
      </w:r>
      <w:r/>
      <w:r>
        <w:br/>
        <w:t>- Escalas de madurez (inexistente, ad hoc, definido, gestionado, optimizado).</w:t>
      </w:r>
      <w:r/>
      <w:r>
        <w:br/>
        <w:t>- Escalas de impacto (bajo, medio, alto).</w:t>
      </w:r>
    </w:p>
    <w:p>
      <w:r>
        <w:t>Se recomienda asignar valores numéricos a estas escalas para facilitar la construcción de índices (por ejemplo, 0 a 3 o 0 a 4), documentando cuidadosamente la codificación.</w:t>
      </w:r>
    </w:p>
    <w:p>
      <w:pPr>
        <w:pStyle w:val="Heading2"/>
        <w:keepNext/>
        <w:keepLines/>
      </w:pPr>
      <w:r>
        <w:rPr>
          <w:color w:val="0066CC"/>
        </w:rPr>
        <w:t>7. Calidad de datos</w:t>
      </w:r>
    </w:p>
    <w:p>
      <w:r>
        <w:t>Para aumentar la calidad de los datos:</w:t>
      </w:r>
      <w:r/>
      <w:r>
        <w:br/>
        <w:t>- Habilitar validaciones básicas (por ejemplo, evitar inconsistencias lógicas flagrantes).</w:t>
      </w:r>
      <w:r/>
      <w:r>
        <w:br/>
        <w:t>- Incluir instrucciones contextuales en preguntas especialmente sensibles.</w:t>
      </w:r>
      <w:r/>
      <w:r>
        <w:br/>
        <w:t>- Permitir que el encuestado marque "no aplica" o "no sabe" en lugar de forzar respuestas ficticias.</w:t>
      </w:r>
    </w:p>
    <w:p>
      <w:r>
        <w:t>Se sugiere revisar una muestra de respuestas para detectar patrones extraños (por ejemplo, respuestas idénticas en todos los ítems, o combinaciones incoherentes) y decidir si deben excluirse del análisis agregado.</w:t>
      </w:r>
    </w:p>
    <w:p>
      <w:pPr>
        <w:pStyle w:val="Heading2"/>
        <w:keepNext/>
        <w:keepLines/>
      </w:pPr>
      <w:r>
        <w:rPr>
          <w:color w:val="0066CC"/>
        </w:rPr>
        <w:t>8. Análisis de resultados</w:t>
      </w:r>
    </w:p>
    <w:p>
      <w:r>
        <w:t>El análisis puede abordarse en varias capas:</w:t>
      </w:r>
    </w:p>
    <w:p>
      <w:pPr>
        <w:pStyle w:val="ListNumber"/>
        <w:keepLines w:val="1"/>
        <w:keepNext w:val="1"/>
        <w:widowControl w:val="1"/>
      </w:pPr>
      <w:r>
        <w:t>Descriptivo básico: porcentajes de adopción de determinadas prácticas, distribución de niveles de madurez, etc.</w:t>
      </w:r>
    </w:p>
    <w:p>
      <w:pPr>
        <w:pStyle w:val="ListNumber"/>
        <w:keepLines w:val="1"/>
        <w:keepNext w:val="1"/>
        <w:widowControl w:val="1"/>
      </w:pPr>
      <w:r>
        <w:t>Comparativo: diferencias entre sectores, tamaños de empresa, o rol del encuestado.</w:t>
      </w:r>
    </w:p>
    <w:p>
      <w:pPr>
        <w:pStyle w:val="ListNumber"/>
        <w:keepLines w:val="1"/>
        <w:keepNext w:val="1"/>
        <w:widowControl w:val="1"/>
      </w:pPr>
      <w:r>
        <w:t>Correlacional: análisis exploratorio de relaciones entre indicadores (por ejemplo, relación entre presencia de programa formal de métricas y cálculo de ROI, o entre inversión y ciertos niveles de incidentes).</w:t>
      </w:r>
    </w:p>
    <w:p>
      <w:pPr>
        <w:pStyle w:val="ListNumber"/>
        <w:keepLines w:val="1"/>
        <w:widowControl w:val="1"/>
      </w:pPr>
      <w:r>
        <w:t>Construcción de índices: derivar un Índice Global de Madurez (IGM) a partir de subconjuntos de preguntas ponderadas.</w:t>
      </w:r>
    </w:p>
    <w:p>
      <w:pPr>
        <w:pStyle w:val="Heading2"/>
        <w:keepNext/>
        <w:keepLines/>
      </w:pPr>
      <w:r>
        <w:rPr>
          <w:color w:val="0066CC"/>
        </w:rPr>
        <w:t>9. Actualización periódica y tendencias</w:t>
      </w:r>
    </w:p>
    <w:p>
      <w:r>
        <w:t>La encuesta está diseñada para poder repetirse de forma periódica (por ejemplo, anual o bienal) y así poder observar tendencias en el tiempo.</w:t>
      </w:r>
    </w:p>
    <w:p>
      <w:r>
        <w:t>Es recomendable mantener el núcleo de preguntas estable y añadir módulos específicos para temas emergentes (p. ej. criptografía poscuántica, IA generativa, etc.), evitando reescribir todo el instrumento cada año.</w:t>
      </w:r>
    </w:p>
    <w:p>
      <w:pPr>
        <w:pStyle w:val="Heading2"/>
        <w:keepNext/>
        <w:keepLines/>
      </w:pPr>
      <w:r>
        <w:rPr>
          <w:color w:val="0066CC"/>
        </w:rPr>
        <w:t>10. Limitaciones y sesgos</w:t>
      </w:r>
    </w:p>
    <w:p>
      <w:r>
        <w:t>Como todo instrumento basado en autodeclaración, la encuesta está sujeta a:</w:t>
      </w:r>
      <w:r/>
      <w:r>
        <w:br/>
        <w:t>- Sesgo de deseabilidad social (tendencia a exagerar la madurez).</w:t>
      </w:r>
      <w:r/>
      <w:r>
        <w:br/>
        <w:t>- Sesgo de supervivencia (tienden a responder las organizaciones más sensibilizadas).</w:t>
      </w:r>
      <w:r/>
      <w:r>
        <w:br/>
        <w:t>- Sesgos internos (visión de TI vs. visión de negocio).</w:t>
      </w:r>
    </w:p>
    <w:p>
      <w:r>
        <w:t>La recomendación metodológica es tratar la encuesta como una pieza más del puzle: complementarla con datos observacionales (incidentes, auditorías, informes) y, sobre todo, con una sana dosis de escepticismo profesional.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