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1. Hoja "DatosEncuesta"</w:t>
      </w:r>
    </w:p>
    <w:p>
      <w:r>
        <w:t>Columnas sugeridas:</w:t>
      </w:r>
      <w:r/>
      <w:r>
        <w:br/>
        <w:t>- ID_Organizacion</w:t>
      </w:r>
      <w:r/>
      <w:r>
        <w:br/>
        <w:t>- Sector</w:t>
      </w:r>
      <w:r/>
      <w:r>
        <w:br/>
        <w:t>- Tamano</w:t>
      </w:r>
      <w:r/>
      <w:r>
        <w:br/>
        <w:t>- Rol_Respondente</w:t>
      </w:r>
      <w:r/>
      <w:r>
        <w:br/>
        <w:t>- P2_1, P2_2, ..., P10_5 (cada pregunta codificada numéricamente)</w:t>
      </w:r>
      <w:r/>
      <w:r>
        <w:br/>
        <w:t>- Comentarios</w:t>
      </w:r>
    </w:p>
    <w:p>
      <w:pPr>
        <w:pStyle w:val="Heading2"/>
        <w:keepNext/>
        <w:keepLines/>
      </w:pPr>
      <w:r>
        <w:rPr>
          <w:color w:val="0066CC"/>
        </w:rPr>
        <w:t>2. Hoja "Codificacion"</w:t>
      </w:r>
    </w:p>
    <w:p>
      <w:r>
        <w:t>Definir la correspondencia entre respuestas y valores numéricos para cada pregunta.</w:t>
      </w:r>
    </w:p>
    <w:p>
      <w:r>
        <w:t>Ejemplo:</w:t>
      </w:r>
      <w:r/>
      <w:r>
        <w:br/>
        <w:t>- Para respuestas tipo madurez (No, Parcial, Definido, Gestionado): 0, 1, 2, 3</w:t>
      </w:r>
      <w:r/>
      <w:r>
        <w:br/>
        <w:t>- Para escalas 1-5: usar directamente 1-5</w:t>
      </w:r>
    </w:p>
    <w:p>
      <w:pPr>
        <w:pStyle w:val="Heading2"/>
        <w:keepNext/>
        <w:keepLines/>
      </w:pPr>
      <w:r>
        <w:rPr>
          <w:color w:val="0066CC"/>
        </w:rPr>
        <w:t>3. Hoja "IGM"</w:t>
      </w:r>
    </w:p>
    <w:p>
      <w:r>
        <w:t>Construir el Índice Global de Madurez (IGM) como suma ponderada (o media ponderada) de varios subíndices:</w:t>
      </w:r>
    </w:p>
    <w:p>
      <w:pPr>
        <w:pStyle w:val="ListBullet"/>
        <w:keepLines w:val="1"/>
        <w:keepNext w:val="1"/>
        <w:widowControl w:val="1"/>
      </w:pPr>
      <w:r>
        <w:t>Gobernanza (por ejemplo, P2_1 a P2_6)</w:t>
      </w:r>
    </w:p>
    <w:p>
      <w:pPr>
        <w:pStyle w:val="ListBullet"/>
        <w:keepLines w:val="1"/>
        <w:keepNext w:val="1"/>
        <w:widowControl w:val="1"/>
      </w:pPr>
      <w:r>
        <w:t>Controles e incidentes (P4_x, P5_x, P6_x)</w:t>
      </w:r>
    </w:p>
    <w:p>
      <w:pPr>
        <w:pStyle w:val="ListBullet"/>
        <w:keepLines w:val="1"/>
        <w:keepNext w:val="1"/>
        <w:widowControl w:val="1"/>
      </w:pPr>
      <w:r>
        <w:t>Cultura y capacidad (P7_x)</w:t>
      </w:r>
    </w:p>
    <w:p>
      <w:pPr>
        <w:pStyle w:val="ListBullet"/>
        <w:keepLines w:val="1"/>
        <w:widowControl w:val="1"/>
      </w:pPr>
      <w:r>
        <w:t>Riesgo e impacto (P8_x)</w:t>
      </w:r>
    </w:p>
    <w:p>
      <w:r>
        <w:t>Cada subíndice puede definirse como:</w:t>
      </w:r>
    </w:p>
    <w:p>
      <w:r>
        <w:t>IGM_Gobernanza = PROMEDIO(P2_1: P2_6 normalizados)</w:t>
      </w:r>
    </w:p>
    <w:p>
      <w:r>
        <w:t>El IGM total puede definirse como:</w:t>
      </w:r>
    </w:p>
    <w:p>
      <w:r>
        <w:t>IGM_Total = 0,25 * IGM_Gobernanza + 0,35 * IGM_Controles + 0,20 * IGM_Cultura + 0,20 * IGM_Riesgo</w:t>
      </w:r>
    </w:p>
    <w:p>
      <w:pPr>
        <w:pStyle w:val="Heading2"/>
        <w:keepNext/>
        <w:keepLines/>
      </w:pPr>
      <w:r>
        <w:rPr>
          <w:color w:val="0066CC"/>
        </w:rPr>
        <w:t>4. Hoja "ROI"</w:t>
      </w:r>
    </w:p>
    <w:p>
      <w:r>
        <w:t>Para cada organización, recoger:</w:t>
      </w:r>
      <w:r/>
      <w:r>
        <w:br/>
        <w:t>- Coste_Anual_Ciberseguridad</w:t>
      </w:r>
      <w:r/>
      <w:r>
        <w:br/>
        <w:t>- Perdidas_Incidentes_Anuales (estimadas)</w:t>
      </w:r>
      <w:r/>
      <w:r>
        <w:br/>
        <w:t>- Perdidas_Incidentes_Escenario_Sin_Mejora (modelo)</w:t>
      </w:r>
    </w:p>
    <w:p>
      <w:r>
        <w:t>Definir:</w:t>
      </w:r>
    </w:p>
    <w:p>
      <w:pPr>
        <w:pStyle w:val="ListBullet"/>
        <w:keepLines w:val="1"/>
        <w:keepNext w:val="1"/>
        <w:widowControl w:val="1"/>
      </w:pPr>
      <w:r>
        <w:t>Reduccion_Perdidas = Perdidas_Incidentes_Escenario_Sin_Mejora - Perdidas_Incidentes_Anuales</w:t>
      </w:r>
    </w:p>
    <w:p>
      <w:pPr>
        <w:pStyle w:val="ListBullet"/>
        <w:keepLines w:val="1"/>
        <w:widowControl w:val="1"/>
      </w:pPr>
      <w:r>
        <w:t>ROI_Simple = (Reduccion_Perdidas - Coste_Anual_Ciberseguridad) / Coste_Anual_Ciberseguridad</w:t>
      </w:r>
    </w:p>
    <w:p>
      <w:r>
        <w:t>Se pueden añadir variantes, como:</w:t>
      </w:r>
      <w:r/>
      <w:r>
        <w:br/>
        <w:t>- ROI_Ajustado_Riesgo, incorporando probabilidad de escenarios</w:t>
      </w:r>
      <w:r/>
      <w:r>
        <w:br/>
        <w:t>- Payback (años necesarios para "amortizar" inversiones)</w:t>
      </w:r>
    </w:p>
    <w:p>
      <w:pPr>
        <w:pStyle w:val="Heading2"/>
        <w:keepNext/>
        <w:keepLines/>
      </w:pPr>
      <w:r>
        <w:rPr>
          <w:color w:val="0066CC"/>
        </w:rPr>
        <w:t>5. Hoja "CuadrosMando"</w:t>
      </w:r>
    </w:p>
    <w:p>
      <w:r>
        <w:t>Incluir gráficos y tablas dinámicas que muestren:</w:t>
      </w:r>
      <w:r/>
      <w:r>
        <w:br/>
        <w:t>- Distribución del IGM por sector</w:t>
      </w:r>
      <w:r/>
      <w:r>
        <w:br/>
        <w:t>- Relación entre IGM y número de incidentes</w:t>
      </w:r>
      <w:r/>
      <w:r>
        <w:br/>
        <w:t>- Relación entre IGM y porcentaje de presupuesto de TI dedicado a ciberseguridad</w:t>
      </w:r>
      <w:r/>
      <w:r>
        <w:br/>
        <w:t>- Relación entre IGM y ROI estimado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