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para Indicadores Nacionales</w:t>
      </w:r>
    </w:p>
    <w:p>
      <w:pPr>
        <w:pStyle w:val="Heading2"/>
        <w:keepNext/>
        <w:keepLines/>
      </w:pPr>
      <w:r>
        <w:rPr>
          <w:color w:val="0066CC"/>
        </w:rPr>
        <w:t>Diapositiva 1: Portada</w:t>
      </w:r>
    </w:p>
    <w:p>
      <w:pPr>
        <w:pStyle w:val="ListBullet"/>
        <w:keepLines w:val="1"/>
        <w:keepNext w:val="1"/>
        <w:widowControl w:val="1"/>
      </w:pPr>
      <w:r>
        <w:t>Título: Indicadores Nacionales de Ciberseguridad</w:t>
      </w:r>
    </w:p>
    <w:p>
      <w:pPr>
        <w:pStyle w:val="ListBullet"/>
        <w:keepLines w:val="1"/>
        <w:keepNext w:val="1"/>
        <w:widowControl w:val="1"/>
      </w:pPr>
      <w:r>
        <w:t>Subtítulo: Marco GQM + PRAGMATIC</w:t>
      </w:r>
    </w:p>
    <w:p>
      <w:pPr>
        <w:pStyle w:val="ListBullet"/>
        <w:keepLines w:val="1"/>
        <w:widowControl w:val="1"/>
      </w:pPr>
      <w:r>
        <w:t>Entidad responsable, fecha</w:t>
      </w:r>
    </w:p>
    <w:p>
      <w:pPr>
        <w:pStyle w:val="Heading2"/>
        <w:keepNext/>
        <w:keepLines/>
      </w:pPr>
      <w:r>
        <w:rPr>
          <w:color w:val="0066CC"/>
        </w:rPr>
        <w:t>Diapositiva 2: Objetivos y enfoque</w:t>
      </w:r>
    </w:p>
    <w:p>
      <w:pPr>
        <w:pStyle w:val="ListBullet"/>
        <w:keepLines w:val="1"/>
        <w:keepNext w:val="1"/>
        <w:widowControl w:val="1"/>
      </w:pPr>
      <w:r>
        <w:t>Resumen de objetivos G1–G5.</w:t>
      </w:r>
    </w:p>
    <w:p>
      <w:pPr>
        <w:pStyle w:val="ListBullet"/>
        <w:keepLines w:val="1"/>
        <w:widowControl w:val="1"/>
      </w:pPr>
      <w:r>
        <w:t>Esquema gráfico de GQM + PRAGMATIC.</w:t>
      </w:r>
    </w:p>
    <w:p>
      <w:pPr>
        <w:pStyle w:val="Heading2"/>
        <w:keepNext/>
        <w:keepLines/>
      </w:pPr>
      <w:r>
        <w:rPr>
          <w:color w:val="0066CC"/>
        </w:rPr>
        <w:t>Diapositiva 3: Principales métricas (M1–M6)</w:t>
      </w:r>
    </w:p>
    <w:p>
      <w:pPr>
        <w:pStyle w:val="ListBullet"/>
        <w:keepLines w:val="1"/>
        <w:widowControl w:val="1"/>
      </w:pPr>
      <w:r>
        <w:t>Gráficos de barras/series temporales con incidentes, MTTD, MTTR y tiempos de recuperación.</w:t>
      </w:r>
    </w:p>
    <w:p>
      <w:pPr>
        <w:pStyle w:val="Heading2"/>
        <w:keepNext/>
        <w:keepLines/>
      </w:pPr>
      <w:r>
        <w:rPr>
          <w:color w:val="0066CC"/>
        </w:rPr>
        <w:t>Diapositiva 4: Controles y madurez (M7–M8)</w:t>
      </w:r>
    </w:p>
    <w:p>
      <w:pPr>
        <w:pStyle w:val="ListBullet"/>
        <w:keepLines w:val="1"/>
        <w:keepNext w:val="1"/>
        <w:widowControl w:val="1"/>
      </w:pPr>
      <w:r>
        <w:t>Índice de implantación de controles clave por sector.</w:t>
      </w:r>
    </w:p>
    <w:p>
      <w:pPr>
        <w:pStyle w:val="ListBullet"/>
        <w:keepLines w:val="1"/>
        <w:widowControl w:val="1"/>
      </w:pPr>
      <w:r>
        <w:t>IGM medio por sector.</w:t>
      </w:r>
    </w:p>
    <w:p>
      <w:pPr>
        <w:pStyle w:val="Heading2"/>
        <w:keepNext/>
        <w:keepLines/>
      </w:pPr>
      <w:r>
        <w:rPr>
          <w:color w:val="0066CC"/>
        </w:rPr>
        <w:t>Diapositiva 5: Resiliencia y continuidad (M9–M10)</w:t>
      </w:r>
    </w:p>
    <w:p>
      <w:pPr>
        <w:pStyle w:val="ListBullet"/>
        <w:keepLines w:val="1"/>
        <w:keepNext w:val="1"/>
        <w:widowControl w:val="1"/>
      </w:pPr>
      <w:r>
        <w:t>Cumplimiento de RTO/RPO.</w:t>
      </w:r>
    </w:p>
    <w:p>
      <w:pPr>
        <w:pStyle w:val="ListBullet"/>
        <w:keepLines w:val="1"/>
        <w:widowControl w:val="1"/>
      </w:pPr>
      <w:r>
        <w:t>Ejercicios de crisis y lecciones aprendidas.</w:t>
      </w:r>
    </w:p>
    <w:p>
      <w:pPr>
        <w:pStyle w:val="Heading2"/>
        <w:keepNext/>
        <w:keepLines/>
      </w:pPr>
      <w:r>
        <w:rPr>
          <w:color w:val="0066CC"/>
        </w:rPr>
        <w:t>Diapositiva 6: Cumplimiento normativo (M11–M12)</w:t>
      </w:r>
    </w:p>
    <w:p>
      <w:pPr>
        <w:pStyle w:val="ListBullet"/>
        <w:keepLines w:val="1"/>
        <w:keepNext w:val="1"/>
        <w:widowControl w:val="1"/>
      </w:pPr>
      <w:r>
        <w:t>Nivel de cumplimiento ENS/NIS2.</w:t>
      </w:r>
    </w:p>
    <w:p>
      <w:pPr>
        <w:pStyle w:val="ListBullet"/>
        <w:keepLines w:val="1"/>
        <w:widowControl w:val="1"/>
      </w:pPr>
      <w:r>
        <w:t>Sanciones y medidas correctoras por sector.</w:t>
      </w:r>
    </w:p>
    <w:p>
      <w:pPr>
        <w:pStyle w:val="Heading2"/>
        <w:keepNext/>
        <w:keepLines/>
      </w:pPr>
      <w:r>
        <w:rPr>
          <w:color w:val="0066CC"/>
        </w:rPr>
        <w:t>Diapositiva 7: Inversión y eficiencia (M13–M15)</w:t>
      </w:r>
    </w:p>
    <w:p>
      <w:pPr>
        <w:pStyle w:val="ListBullet"/>
        <w:keepLines w:val="1"/>
        <w:keepNext w:val="1"/>
        <w:widowControl w:val="1"/>
      </w:pPr>
      <w:r>
        <w:t>Inversión en ciberseguridad, % presupuesto TI.</w:t>
      </w:r>
    </w:p>
    <w:p>
      <w:pPr>
        <w:pStyle w:val="ListBullet"/>
        <w:keepLines w:val="1"/>
        <w:widowControl w:val="1"/>
      </w:pPr>
      <w:r>
        <w:t>Estimaciones de pérdidas evitadas / riesgo mitigado.</w:t>
      </w:r>
    </w:p>
    <w:p>
      <w:pPr>
        <w:pStyle w:val="Heading2"/>
        <w:keepNext/>
        <w:keepLines/>
      </w:pPr>
      <w:r>
        <w:rPr>
          <w:color w:val="0066CC"/>
        </w:rPr>
        <w:t>Diapositiva 8: Evaluación PRAGMATIC</w:t>
      </w:r>
    </w:p>
    <w:p>
      <w:pPr>
        <w:pStyle w:val="ListBullet"/>
        <w:keepLines w:val="1"/>
        <w:keepNext w:val="1"/>
        <w:widowControl w:val="1"/>
      </w:pPr>
      <w:r>
        <w:t>Tabla/resumen visual de scores PRAGMATIC por métrica.</w:t>
      </w:r>
    </w:p>
    <w:p>
      <w:pPr>
        <w:pStyle w:val="ListBullet"/>
        <w:keepLines w:val="1"/>
        <w:widowControl w:val="1"/>
      </w:pPr>
      <w:r>
        <w:t>Identificación de métricas fuertes y métricas a revisar.</w:t>
      </w:r>
    </w:p>
    <w:p>
      <w:pPr>
        <w:pStyle w:val="Heading2"/>
        <w:keepNext/>
        <w:keepLines/>
      </w:pPr>
      <w:r>
        <w:rPr>
          <w:color w:val="0066CC"/>
        </w:rPr>
        <w:t>Diapositiva 9: Conclusiones y recomendaciones</w:t>
      </w:r>
    </w:p>
    <w:p>
      <w:pPr>
        <w:pStyle w:val="ListBullet"/>
        <w:keepLines w:val="1"/>
        <w:keepNext w:val="1"/>
        <w:widowControl w:val="1"/>
      </w:pPr>
      <w:r>
        <w:t>Principales hallazgos.</w:t>
      </w:r>
    </w:p>
    <w:p>
      <w:pPr>
        <w:pStyle w:val="ListBullet"/>
        <w:keepLines w:val="1"/>
        <w:keepNext w:val="1"/>
        <w:widowControl w:val="1"/>
      </w:pPr>
      <w:r>
        <w:t>Propuestas de ajuste del catálogo de métricas.</w:t>
      </w:r>
    </w:p>
    <w:p>
      <w:pPr>
        <w:pStyle w:val="ListBullet"/>
        <w:keepLines w:val="1"/>
        <w:widowControl w:val="1"/>
      </w:pPr>
      <w:r>
        <w:t>Próximos pasos (mejora de datos, nuevas métricas, revisión anual).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