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</w:t>
      </w:r>
    </w:p>
    <w:p>
      <w:pPr>
        <w:pStyle w:val="Heading2"/>
        <w:keepNext/>
        <w:keepLines/>
      </w:pPr>
      <w:r>
        <w:rPr>
          <w:color w:val="0066CC"/>
        </w:rPr>
        <w:t>Diapositiva 1: Portada</w:t>
      </w:r>
    </w:p>
    <w:p>
      <w:pPr>
        <w:pStyle w:val="ListBullet"/>
        <w:keepLines w:val="1"/>
        <w:keepNext w:val="1"/>
        <w:widowControl w:val="1"/>
      </w:pPr>
      <w:r>
        <w:t>Título: Estado de las Métricas de Ciberseguridad en la Organización</w:t>
      </w:r>
    </w:p>
    <w:p>
      <w:pPr>
        <w:pStyle w:val="ListBullet"/>
        <w:keepLines w:val="1"/>
        <w:keepNext w:val="1"/>
        <w:widowControl w:val="1"/>
      </w:pPr>
      <w:r>
        <w:t>Subtítulo: Resultados de la Encuesta Basada en NIST SP 800-55</w:t>
      </w:r>
    </w:p>
    <w:p>
      <w:pPr>
        <w:pStyle w:val="ListBullet"/>
        <w:keepLines w:val="1"/>
        <w:widowControl w:val="1"/>
      </w:pPr>
      <w:r>
        <w:t>Fecha y logotipo</w:t>
      </w:r>
    </w:p>
    <w:p>
      <w:pPr>
        <w:pStyle w:val="Heading2"/>
        <w:keepNext/>
        <w:keepLines/>
      </w:pPr>
      <w:r>
        <w:rPr>
          <w:color w:val="0066CC"/>
        </w:rPr>
        <w:t>Diapositiva 2: Resumen ejecutivo</w:t>
      </w:r>
    </w:p>
    <w:p>
      <w:pPr>
        <w:pStyle w:val="ListBullet"/>
        <w:keepLines w:val="1"/>
        <w:widowControl w:val="1"/>
      </w:pPr>
      <w:r>
        <w:t>3-5 mensajes clave (nivel de madurez general, principales fortalezas, principales debilidades, tendencias relevantes).</w:t>
      </w:r>
    </w:p>
    <w:p>
      <w:pPr>
        <w:pStyle w:val="Heading2"/>
        <w:keepNext/>
        <w:keepLines/>
      </w:pPr>
      <w:r>
        <w:rPr>
          <w:color w:val="0066CC"/>
        </w:rPr>
        <w:t>Diapositiva 3: Perfil de la organización</w:t>
      </w:r>
    </w:p>
    <w:p>
      <w:pPr>
        <w:pStyle w:val="ListBullet"/>
        <w:keepLines w:val="1"/>
        <w:widowControl w:val="1"/>
      </w:pPr>
      <w:r>
        <w:t>Sector, tamaño, ámbito geográfico, marco normativo aplicable (ENS, NIS2, otros).</w:t>
      </w:r>
    </w:p>
    <w:p>
      <w:pPr>
        <w:pStyle w:val="Heading2"/>
        <w:keepNext/>
        <w:keepLines/>
      </w:pPr>
      <w:r>
        <w:rPr>
          <w:color w:val="0066CC"/>
        </w:rPr>
        <w:t>Diapositiva 4: Índice Global de Madurez (IGM)</w:t>
      </w:r>
    </w:p>
    <w:p>
      <w:pPr>
        <w:pStyle w:val="ListBullet"/>
        <w:keepLines w:val="1"/>
        <w:widowControl w:val="1"/>
      </w:pPr>
      <w:r>
        <w:t>Gráfico de radar o barras mostrando el IGM total y por dominios (Gobernanza, Controles, Cultura, Riesgo).</w:t>
      </w:r>
    </w:p>
    <w:p>
      <w:pPr>
        <w:pStyle w:val="Heading2"/>
        <w:keepNext/>
        <w:keepLines/>
      </w:pPr>
      <w:r>
        <w:rPr>
          <w:color w:val="0066CC"/>
        </w:rPr>
        <w:t>Diapositiva 5: Gobernanza de métricas</w:t>
      </w:r>
    </w:p>
    <w:p>
      <w:pPr>
        <w:pStyle w:val="ListBullet"/>
        <w:keepLines w:val="1"/>
        <w:widowControl w:val="1"/>
      </w:pPr>
      <w:r>
        <w:t>Resumen del estado del programa de medición (existencia de catálogo formal, responsable asignado, revisión periódica).</w:t>
      </w:r>
    </w:p>
    <w:p>
      <w:pPr>
        <w:pStyle w:val="Heading2"/>
        <w:keepNext/>
        <w:keepLines/>
      </w:pPr>
      <w:r>
        <w:rPr>
          <w:color w:val="0066CC"/>
        </w:rPr>
        <w:t>Diapositiva 6: Incidentes y controles</w:t>
      </w:r>
    </w:p>
    <w:p>
      <w:pPr>
        <w:pStyle w:val="ListBullet"/>
        <w:keepLines w:val="1"/>
        <w:widowControl w:val="1"/>
      </w:pPr>
      <w:r>
        <w:t>Gráficos con indicadores clave de incidentes, tiempos de respuesta y estado de controles (MFA, parcheo, segmentación).</w:t>
      </w:r>
    </w:p>
    <w:p>
      <w:pPr>
        <w:pStyle w:val="Heading2"/>
        <w:keepNext/>
        <w:keepLines/>
      </w:pPr>
      <w:r>
        <w:rPr>
          <w:color w:val="0066CC"/>
        </w:rPr>
        <w:t>Diapositiva 7: Cumplimiento normativo</w:t>
      </w:r>
    </w:p>
    <w:p>
      <w:pPr>
        <w:pStyle w:val="ListBullet"/>
        <w:keepLines w:val="1"/>
        <w:widowControl w:val="1"/>
      </w:pPr>
      <w:r>
        <w:t>Indicadores de cumplimiento ENS/NIS2/RGPD.</w:t>
      </w:r>
    </w:p>
    <w:p>
      <w:pPr>
        <w:pStyle w:val="Heading2"/>
        <w:keepNext/>
        <w:keepLines/>
      </w:pPr>
      <w:r>
        <w:rPr>
          <w:color w:val="0066CC"/>
        </w:rPr>
        <w:t>Diapositiva 8: Cultura y capacidad</w:t>
      </w:r>
    </w:p>
    <w:p>
      <w:pPr>
        <w:pStyle w:val="ListBullet"/>
        <w:keepLines w:val="1"/>
        <w:widowControl w:val="1"/>
      </w:pPr>
      <w:r>
        <w:t>Métricas de formación, concienciación y madurez organizativa.</w:t>
      </w:r>
    </w:p>
    <w:p>
      <w:pPr>
        <w:pStyle w:val="Heading2"/>
        <w:keepNext/>
        <w:keepLines/>
      </w:pPr>
      <w:r>
        <w:rPr>
          <w:color w:val="0066CC"/>
        </w:rPr>
        <w:t>Diapositiva 9: Inversión y ROI</w:t>
      </w:r>
    </w:p>
    <w:p>
      <w:pPr>
        <w:pStyle w:val="ListBullet"/>
        <w:keepLines w:val="1"/>
        <w:widowControl w:val="1"/>
      </w:pPr>
      <w:r>
        <w:t>Nivel de inversión en ciberseguridad, resultados del modelo de ROI (si aplica), comentarios cualitativos.</w:t>
      </w:r>
    </w:p>
    <w:p>
      <w:pPr>
        <w:pStyle w:val="Heading2"/>
        <w:keepNext/>
        <w:keepLines/>
      </w:pPr>
      <w:r>
        <w:rPr>
          <w:color w:val="0066CC"/>
        </w:rPr>
        <w:t>Diapositiva 10: Priorización y plan de acción</w:t>
      </w:r>
    </w:p>
    <w:p>
      <w:pPr>
        <w:pStyle w:val="ListBullet"/>
        <w:keepLines w:val="1"/>
        <w:widowControl w:val="1"/>
      </w:pPr>
      <w:r>
        <w:t>3-5 líneas estratégicas de mejora basadas en los resultados de la encuesta.</w:t>
      </w:r>
    </w:p>
    <w:p>
      <w:pPr>
        <w:pStyle w:val="Heading2"/>
        <w:keepNext/>
        <w:keepLines/>
      </w:pPr>
      <w:r>
        <w:rPr>
          <w:color w:val="0066CC"/>
        </w:rPr>
        <w:t>Diapositiva 11: Riesgos y oportunidades</w:t>
      </w:r>
    </w:p>
    <w:p>
      <w:pPr>
        <w:pStyle w:val="ListBullet"/>
        <w:keepLines w:val="1"/>
        <w:keepNext w:val="1"/>
        <w:widowControl w:val="1"/>
      </w:pPr>
      <w:r>
        <w:t>Principales riesgos identificados por el nivel actual de madurez.</w:t>
      </w:r>
    </w:p>
    <w:p>
      <w:pPr>
        <w:pStyle w:val="ListBullet"/>
        <w:keepLines w:val="1"/>
        <w:widowControl w:val="1"/>
      </w:pPr>
      <w:r>
        <w:t>Oportunidades de mejora y de alineamiento con requisitos normativos.</w:t>
      </w:r>
    </w:p>
    <w:p>
      <w:pPr>
        <w:pStyle w:val="Heading2"/>
        <w:keepNext/>
        <w:keepLines/>
      </w:pPr>
      <w:r>
        <w:rPr>
          <w:color w:val="0066CC"/>
        </w:rPr>
        <w:t>Diapositiva 12: Conclusiones y próximos pasos</w:t>
      </w:r>
    </w:p>
    <w:p>
      <w:pPr>
        <w:pStyle w:val="ListBullet"/>
        <w:keepLines w:val="1"/>
        <w:keepNext w:val="1"/>
        <w:widowControl w:val="1"/>
      </w:pPr>
      <w:r>
        <w:t>Resumen de compromisos acordados.</w:t>
      </w:r>
    </w:p>
    <w:p>
      <w:pPr>
        <w:pStyle w:val="ListBullet"/>
        <w:keepLines w:val="1"/>
        <w:keepNext w:val="1"/>
        <w:widowControl w:val="1"/>
      </w:pPr>
      <w:r>
        <w:t>Propuesta de periodicidad para repetir la encuesta.</w:t>
      </w:r>
    </w:p>
    <w:p>
      <w:pPr>
        <w:pStyle w:val="ListBullet"/>
        <w:keepLines w:val="1"/>
        <w:widowControl w:val="1"/>
      </w:pPr>
      <w:r>
        <w:t>Información de contacto del equipo responsable.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