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README — KIT DE ENCUESTA FISMA 2025</w:t>
      </w:r>
    </w:p>
    <w:p>
      <w:pPr>
        <w:pStyle w:val="Heading2"/>
        <w:keepNext/>
        <w:keepLines/>
      </w:pPr>
      <w:r>
        <w:rPr>
          <w:color w:val="0066CC"/>
        </w:rPr>
        <w:t>Guía de Inicio Rápido y Documentación del Paquete Completo</w:t>
      </w:r>
    </w:p>
    <w:p>
      <w:pPr>
        <w:pStyle w:val="Heading3"/>
        <w:keepNext/>
        <w:keepLines/>
      </w:pPr>
      <w:r>
        <w:t>Diagnóstico de Madurez en Ciberseguridad Institucional para España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╔══════════════════════════════════════════════════════════════════════════════╗</w:t>
        <w:br/>
        <w:t>║          KIT DE ENCUESTA FISMA 2025 — DIAGNÓSTICO DE MADUREZ               ║</w:t>
        <w:br/>
        <w:t>║          Ciberseguridad Institucional · España · Enfoque Autonómico         ║</w:t>
        <w:br/>
        <w:t>║          Versión 1.0 · Abril 2026                                           ║</w:t>
        <w:br/>
        <w:t>╚══════════════════════════════════════════════════════════════════════════════╝</w:t>
        <w:br/>
      </w:r>
    </w:p>
    <w:p>
      <w:pPr>
        <w:pStyle w:val="Heading2"/>
        <w:keepNext/>
        <w:keepLines/>
      </w:pPr>
      <w:r>
        <w:rPr>
          <w:color w:val="0066CC"/>
        </w:rPr>
        <w:t>¿QUÉ ES ESTE KIT?</w:t>
      </w:r>
    </w:p>
    <w:p>
      <w:r>
        <w:t xml:space="preserve">Este kit es un </w:t>
      </w:r>
      <w:r>
        <w:rPr>
          <w:b/>
        </w:rPr>
        <w:t>instrumento completo de diagnóstico, análisis y comunicación</w:t>
      </w:r>
      <w:r>
        <w:t xml:space="preserve"> del nivel de madurez en ciberseguridad de organizaciones públicas y privadas en España, con especial énfasis en las Comunidades Autónomas y las Administraciones Locales.</w:t>
      </w:r>
    </w:p>
    <w:p>
      <w:r>
        <w:t xml:space="preserve">Está construido sobre los </w:t>
      </w:r>
      <w:r>
        <w:rPr>
          <w:b/>
        </w:rPr>
        <w:t>FY2025 IG FISMA Reporting Metrics v2.0</w:t>
      </w:r>
      <w:r>
        <w:t xml:space="preserve"> (publicados el 3 de abril de 2025), el estándar de medición de madurez en ciberseguridad institucional más riguroso disponible a nivel mundial, adaptado al contexto normativo español: </w:t>
      </w:r>
      <w:r>
        <w:rPr>
          <w:b/>
        </w:rPr>
        <w:t>ENS (RD 311/2022)</w:t>
      </w:r>
      <w:r>
        <w:t xml:space="preserve"> y </w:t>
      </w:r>
      <w:r>
        <w:rPr>
          <w:b/>
        </w:rPr>
        <w:t>Directiva NIS2</w:t>
      </w:r>
      <w:r>
        <w:t xml:space="preserve"> (en transposición mediante el Anteproyecto de Ley de Coordinación y Gobernanza de la Ciberseguridad, enero 2025).</w:t>
      </w:r>
    </w:p>
    <w:p>
      <w:r>
        <w:t>No es otro cuestionario de cumplimiento. Es una herramienta de diagnóstico que produce datos accionables, conversaciones estratégicas y planes de mejora medibles.</w:t>
      </w:r>
    </w:p>
    <w:p>
      <w:pPr>
        <w:pStyle w:val="Heading2"/>
        <w:keepNext/>
        <w:keepLines/>
      </w:pPr>
      <w:r>
        <w:rPr>
          <w:color w:val="0066CC"/>
        </w:rPr>
        <w:t>ESTRUCTURA DEL KIT: LOS 7 DOCUMENTOS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kit-encuesta-fisma-2025/</w:t>
        <w:br/>
        <w:t>│</w:t>
        <w:br/>
        <w:t>├── (a) encuesta-fisma-modelo.md</w:t>
        <w:br/>
        <w:t>│       Modelo de encuesta integral con 60 preguntas en 14 módulos</w:t>
        <w:br/>
        <w:t>│</w:t>
        <w:br/>
        <w:t>├── (b) guia-metodologica.md</w:t>
        <w:br/>
        <w:t>│       Metodología, codificación, análisis estadístico y consideraciones éticas</w:t>
        <w:br/>
        <w:t>│</w:t>
        <w:br/>
        <w:t>├── (c) narrativa-explicativa.md</w:t>
        <w:br/>
        <w:t>│       Por qué existe esta encuesta, qué mide y qué hacer con los resultados</w:t>
        <w:br/>
        <w:t>│</w:t>
        <w:br/>
        <w:t>├── (d) mapeo-normativo.md</w:t>
        <w:br/>
        <w:t>│       Tabla de correspondencia: cada pregunta ↔ FISMA ↔ ENS ↔ NIS2 ↔ NIST SP</w:t>
        <w:br/>
        <w:t>│</w:t>
        <w:br/>
        <w:t>├── (e) plantilla-igm-rosi.md</w:t>
        <w:br/>
        <w:t>│       Diseño completo de la hoja de cálculo Excel: IGM + ROSI + POA&amp;M</w:t>
        <w:br/>
        <w:t>│</w:t>
        <w:br/>
        <w:t>├── (f) reporte-ejecutivo-ppt.md</w:t>
        <w:br/>
        <w:t>│       Plantilla PowerPoint completa: 18 diapositivas descritas en detalle</w:t>
        <w:br/>
        <w:t>│</w:t>
        <w:br/>
        <w:t>└── (g) README.md</w:t>
        <w:br/>
        <w:t xml:space="preserve">        Este fichero</w:t>
        <w:br/>
      </w:r>
    </w:p>
    <w:p>
      <w:pPr>
        <w:pStyle w:val="Heading2"/>
        <w:keepNext/>
        <w:keepLines/>
      </w:pPr>
      <w:r>
        <w:rPr>
          <w:color w:val="0066CC"/>
        </w:rPr>
        <w:t>GUÍA DE INICIO RÁPIDO</w:t>
      </w:r>
    </w:p>
    <w:p>
      <w:pPr>
        <w:pStyle w:val="Heading3"/>
        <w:keepNext/>
        <w:keepLines/>
      </w:pPr>
      <w:r>
        <w:t>Para el CISO / Responsable de Seguridad:</w:t>
      </w:r>
    </w:p>
    <w:p>
      <w:r>
        <w:rPr>
          <w:b/>
        </w:rPr>
        <w:t>¿Por dónde empiezo?</w:t>
      </w:r>
    </w:p>
    <w:p>
      <w:pPr>
        <w:pStyle w:val="ListNumber"/>
        <w:keepLines w:val="1"/>
        <w:keepNext w:val="1"/>
        <w:widowControl w:val="1"/>
      </w:pPr>
      <w:r>
        <w:t>Lea la Narrativa Explicativa (c) para entender el propósito del instrumento y cómo comunicarlo a su organización.</w:t>
      </w:r>
    </w:p>
    <w:p>
      <w:pPr>
        <w:pStyle w:val="ListNumber"/>
        <w:keepLines w:val="1"/>
        <w:keepNext w:val="1"/>
        <w:widowControl w:val="1"/>
      </w:pPr>
      <w:r>
        <w:t>Revise el Mapeo Normativo (d) para verificar que las preguntas cubren los requisitos que su organización necesita evaluar.</w:t>
      </w:r>
    </w:p>
    <w:p>
      <w:pPr>
        <w:pStyle w:val="ListNumber"/>
        <w:keepLines w:val="1"/>
        <w:keepNext w:val="1"/>
        <w:widowControl w:val="1"/>
      </w:pPr>
      <w:r>
        <w:t>Personalice el Modelo de Encuesta (a) si necesita añadir preguntas específicas de su sector o eliminar módulos no aplicables.</w:t>
      </w:r>
    </w:p>
    <w:p>
      <w:pPr>
        <w:pStyle w:val="ListNumber"/>
        <w:keepLines w:val="1"/>
        <w:keepNext w:val="1"/>
        <w:widowControl w:val="1"/>
      </w:pPr>
      <w:r>
        <w:t>Implemente la Plantilla Excel (e) para calcular el IGM y el ROSI de su organización.</w:t>
      </w:r>
    </w:p>
    <w:p>
      <w:pPr>
        <w:pStyle w:val="ListNumber"/>
        <w:keepLines w:val="1"/>
        <w:widowControl w:val="1"/>
      </w:pPr>
      <w:r>
        <w:t>Presente los resultados usando la Plantilla PowerPoint (f).</w:t>
      </w:r>
    </w:p>
    <w:p>
      <w:pPr>
        <w:pStyle w:val="Heading3"/>
        <w:keepNext/>
        <w:keepLines/>
      </w:pPr>
      <w:r>
        <w:t>Para el Investigador / Analista:</w:t>
      </w:r>
    </w:p>
    <w:p>
      <w:pPr>
        <w:pStyle w:val="ListNumber"/>
        <w:keepLines w:val="1"/>
        <w:keepNext w:val="1"/>
        <w:widowControl w:val="1"/>
      </w:pPr>
      <w:r>
        <w:t>Lea la Guía Metodológica (b) en su totalidad antes de diseñar el plan de muestreo.</w:t>
      </w:r>
    </w:p>
    <w:p>
      <w:pPr>
        <w:pStyle w:val="ListNumber"/>
        <w:keepLines w:val="1"/>
        <w:keepNext w:val="1"/>
        <w:widowControl w:val="1"/>
      </w:pPr>
      <w:r>
        <w:t>Utilice el Modelo de Encuesta (a) como instrumento base; documente cualquier adaptación realizada.</w:t>
      </w:r>
    </w:p>
    <w:p>
      <w:pPr>
        <w:pStyle w:val="ListNumber"/>
        <w:keepLines w:val="1"/>
        <w:keepNext w:val="1"/>
        <w:widowControl w:val="1"/>
      </w:pPr>
      <w:r>
        <w:t>El Mapeo Normativo (d) le permitirá justificar la validez de contenido del instrumento ante revisores académicos.</w:t>
      </w:r>
    </w:p>
    <w:p>
      <w:pPr>
        <w:pStyle w:val="ListNumber"/>
        <w:keepLines w:val="1"/>
        <w:widowControl w:val="1"/>
      </w:pPr>
      <w:r>
        <w:t>La Plantilla Excel (e) incluye las fórmulas de cálculo del IGM para procesamiento cuantitativo de resultados.</w:t>
      </w:r>
    </w:p>
    <w:p>
      <w:pPr>
        <w:pStyle w:val="Heading3"/>
        <w:keepNext/>
        <w:keepLines/>
      </w:pPr>
      <w:r>
        <w:t>Para el Directivo / Jefe de Área:</w:t>
      </w:r>
    </w:p>
    <w:p>
      <w:pPr>
        <w:pStyle w:val="ListNumber"/>
        <w:keepLines w:val="1"/>
        <w:keepNext w:val="1"/>
        <w:widowControl w:val="1"/>
      </w:pPr>
      <w:r>
        <w:t>Lea la Narrativa Explicativa (c) — especialmente la Parte III ("El coste de no actuar").</w:t>
      </w:r>
    </w:p>
    <w:p>
      <w:pPr>
        <w:pStyle w:val="ListNumber"/>
        <w:keepLines w:val="1"/>
        <w:keepNext w:val="1"/>
        <w:widowControl w:val="1"/>
      </w:pPr>
      <w:r>
        <w:t>Solicite al CISO que complete la encuesta versión directiva (Módulos I, II, IX, XII, XIV).</w:t>
      </w:r>
    </w:p>
    <w:p>
      <w:pPr>
        <w:pStyle w:val="ListNumber"/>
        <w:keepLines w:val="1"/>
        <w:widowControl w:val="1"/>
      </w:pPr>
      <w:r>
        <w:t>Revise el Reporte Ejecutivo (f) como formato de presentación de resultados.</w:t>
      </w:r>
    </w:p>
    <w:p>
      <w:pPr>
        <w:pStyle w:val="Heading2"/>
        <w:keepNext/>
        <w:keepLines/>
      </w:pPr>
      <w:r>
        <w:rPr>
          <w:color w:val="0066CC"/>
        </w:rPr>
        <w:t>DESCRIPCIÓN DETALLADA DE CADA DOCUMENTO</w:t>
      </w:r>
    </w:p>
    <w:p>
      <w:pPr>
        <w:pStyle w:val="Heading3"/>
        <w:keepNext/>
        <w:keepLines/>
      </w:pPr>
      <w:r>
        <w:t>(a) Modelo de Encuesta Integral — encuesta-fisma-modelo.md</w:t>
      </w:r>
    </w:p>
    <w:p>
      <w:r>
        <w:rPr>
          <w:b/>
        </w:rPr>
        <w:t>Contenido:</w:t>
      </w:r>
      <w:r>
        <w:t xml:space="preserve"> 60 preguntas organizadas en 14 módulos temáticos.</w:t>
      </w:r>
    </w:p>
    <w:p>
      <w:r>
        <w:rPr>
          <w:b/>
        </w:rPr>
        <w:t>Módulos:</w:t>
      </w:r>
      <w:r/>
      <w:r>
        <w:br/>
        <w:t>| # | Módulo | Preguntas | Función FISMA | Marco normativo principal |</w:t>
      </w:r>
      <w:r/>
      <w:r>
        <w:br/>
        <w:t>|---|---|---|---|---|</w:t>
      </w:r>
      <w:r/>
      <w:r>
        <w:br/>
        <w:t>| I | Gobernanza de la Ciberseguridad | P1-P5 | GOVERN | ENS Art. 13 / NIS2 Art. 20 |</w:t>
      </w:r>
      <w:r/>
      <w:r>
        <w:br/>
        <w:t>| II | Gestión Cadena de Suministro (C-SCRM) | P6-P10 | GOVERN | ENS Art. 19 / NIS2 Art. 21.2.d |</w:t>
      </w:r>
      <w:r/>
      <w:r>
        <w:br/>
        <w:t>| III | Gestión de Riesgos y Activos | P11-P14 | IDENTIFY | ENS op.exp.1 / MAGERIT |</w:t>
      </w:r>
      <w:r/>
      <w:r>
        <w:br/>
        <w:t>| IV | Gestión de Configuración | P15-P18 | PROTECT | ENS mp.eq.3 / CIS Controls |</w:t>
      </w:r>
      <w:r/>
      <w:r>
        <w:br/>
        <w:t>| V | IDAM y Zero Trust | P19-P23 | PROTECT | ENS mp.acc / CISA ZTMM v2.0 |</w:t>
      </w:r>
      <w:r/>
      <w:r>
        <w:br/>
        <w:t>| VI | Protección de Datos y Privacidad | P24-P27 | PROTECT | LOPDGDD / RGPD / NIST FIPS |</w:t>
      </w:r>
      <w:r/>
      <w:r>
        <w:br/>
        <w:t>| VII | Formación y Concienciación | P28-P30 | PROTECT | ENS Art. 15-16 / NIST NICE |</w:t>
      </w:r>
      <w:r/>
      <w:r>
        <w:br/>
        <w:t>| VIII | Monitorización Continua (ISCM) | P31-P35 | DETECT | ENS Art. 24 / CDM Program |</w:t>
      </w:r>
      <w:r/>
      <w:r>
        <w:br/>
        <w:t>| IX | Respuesta a Incidentes | P36-P40 | RESPOND | ENS Art. 25 / NIS2 Art. 23 |</w:t>
      </w:r>
      <w:r/>
      <w:r>
        <w:br/>
        <w:t>| X | Continuidad de Negocio | P41-P44 | RECOVER | ENS Art. 26 / ISO 22301 |</w:t>
      </w:r>
      <w:r/>
      <w:r>
        <w:br/>
        <w:t>| XI | Cumplimiento Normativo | P45-P48 | Transversal | ENS Cert. / NIS2 / LOPDGDD |</w:t>
      </w:r>
      <w:r/>
      <w:r>
        <w:br/>
        <w:t>| XII | Métricas y Madurez | P49-P52 | Transversal | FISMA 5 niveles / INES CCN |</w:t>
      </w:r>
      <w:r/>
      <w:r>
        <w:br/>
        <w:t>| XIII | Tendencias Emergentes | P53-P55 | DETECT/IDENTIFY | CTI / IA / PQC |</w:t>
      </w:r>
      <w:r/>
      <w:r>
        <w:br/>
        <w:t>| XIV | Reflexión Estratégica (Abierto) | P56-P60 | Transversal | Análisis cualitativo |</w:t>
      </w:r>
    </w:p>
    <w:p>
      <w:r>
        <w:rPr>
          <w:b/>
        </w:rPr>
        <w:t>Versiones disponibles:</w:t>
      </w:r>
      <w:r/>
      <w:r>
        <w:br/>
        <w:t xml:space="preserve">- </w:t>
      </w:r>
      <w:r>
        <w:rPr>
          <w:b/>
        </w:rPr>
        <w:t>Versión completa:</w:t>
      </w:r>
      <w:r>
        <w:t xml:space="preserve"> 60 preguntas, todos los módulos (45-60 min)</w:t>
      </w:r>
      <w:r/>
      <w:r>
        <w:br/>
        <w:t xml:space="preserve">- </w:t>
      </w:r>
      <w:r>
        <w:rPr>
          <w:b/>
        </w:rPr>
        <w:t>Versión abreviada:</w:t>
      </w:r>
      <w:r>
        <w:t xml:space="preserve"> Módulos I, II, IX, XII (15 preguntas, 20 min)</w:t>
      </w:r>
      <w:r/>
      <w:r>
        <w:br/>
        <w:t xml:space="preserve">- </w:t>
      </w:r>
      <w:r>
        <w:rPr>
          <w:b/>
        </w:rPr>
        <w:t>Versión directiva:</w:t>
      </w:r>
      <w:r>
        <w:t xml:space="preserve"> Módulos I, II, IX, XI, XII, XIV (20 preguntas, 25 min)</w:t>
      </w:r>
    </w:p>
    <w:p>
      <w:pPr>
        <w:pStyle w:val="Heading3"/>
        <w:keepNext/>
        <w:keepLines/>
      </w:pPr>
      <w:r>
        <w:t>(b) Guía Metodológica — guia-metodologica.md</w:t>
      </w:r>
    </w:p>
    <w:p>
      <w:r>
        <w:rPr>
          <w:b/>
        </w:rPr>
        <w:t>Contenido:</w:t>
      </w:r>
      <w:r>
        <w:t xml:space="preserve"> Instrucciones completas para administrar, codificar y analizar la encuesta.</w:t>
      </w:r>
    </w:p>
    <w:p>
      <w:r>
        <w:rPr>
          <w:b/>
        </w:rPr>
        <w:t>Secciones principales:</w:t>
      </w:r>
      <w:r/>
      <w:r>
        <w:br/>
        <w:t>- Fundamentos metodológicos y marco teórico</w:t>
      </w:r>
      <w:r/>
      <w:r>
        <w:br/>
        <w:t>- Población objetivo y modalidades de aplicación</w:t>
      </w:r>
      <w:r/>
      <w:r>
        <w:br/>
        <w:t>- Sistema de codificación A-E → 1-5 puntos</w:t>
      </w:r>
      <w:r/>
      <w:r>
        <w:br/>
        <w:t>- Ponderaciones por módulo para el cálculo del IGM</w:t>
      </w:r>
      <w:r/>
      <w:r>
        <w:br/>
        <w:t>- Cálculo del ROI/ROSI con metodología ALE</w:t>
      </w:r>
      <w:r/>
      <w:r>
        <w:br/>
        <w:t>- Correspondencia perfil del respondente → módulos aplicables</w:t>
      </w:r>
      <w:r/>
      <w:r>
        <w:br/>
        <w:t>- Análisis cuantitativo (univariado, bivariado, regresión)</w:t>
      </w:r>
      <w:r/>
      <w:r>
        <w:br/>
        <w:t>- Análisis cualitativo de preguntas abiertas</w:t>
      </w:r>
      <w:r/>
      <w:r>
        <w:br/>
        <w:t>- Validación del instrumento (alfa Cronbach, validez contenido, test-retest)</w:t>
      </w:r>
      <w:r/>
      <w:r>
        <w:br/>
        <w:t>- Consideraciones éticas y protección de datos (RGPD)</w:t>
      </w:r>
      <w:r/>
      <w:r>
        <w:br/>
        <w:t>- Tamaños muestrales por Comunidad Autónoma</w:t>
      </w:r>
      <w:r/>
      <w:r>
        <w:br/>
        <w:t>- Cronograma de implementación (20 semanas)</w:t>
      </w:r>
    </w:p>
    <w:p>
      <w:pPr>
        <w:pStyle w:val="Heading3"/>
        <w:keepNext/>
        <w:keepLines/>
      </w:pPr>
      <w:r>
        <w:t>(c) Narrativa Explicativa — narrativa-explicativa.md</w:t>
      </w:r>
    </w:p>
    <w:p>
      <w:r>
        <w:rPr>
          <w:b/>
        </w:rPr>
        <w:t>Contenido:</w:t>
      </w:r>
      <w:r>
        <w:t xml:space="preserve"> Documento de contexto, justificación y guía de uso de los resultados.</w:t>
      </w:r>
    </w:p>
    <w:p>
      <w:r>
        <w:rPr>
          <w:b/>
        </w:rPr>
        <w:t>Audiencia:</w:t>
      </w:r>
      <w:r>
        <w:t xml:space="preserve"> Directivos, investigadores, policy-makers, comunicadores.</w:t>
      </w:r>
    </w:p>
    <w:p>
      <w:r>
        <w:rPr>
          <w:b/>
        </w:rPr>
        <w:t>Partes:</w:t>
      </w:r>
      <w:r/>
      <w:r>
        <w:br/>
        <w:t>- Parte I: El problema de las métricas ausentes en España</w:t>
      </w:r>
      <w:r/>
      <w:r>
        <w:br/>
        <w:t>- Parte II: Por qué FISMA como referencia; arquitectura de los 14 módulos; el tono del instrumento</w:t>
      </w:r>
      <w:r/>
      <w:r>
        <w:br/>
        <w:t>- Parte III: Qué hacer con los resultados (organización individual, investigador, policy-maker)</w:t>
      </w:r>
      <w:r/>
      <w:r>
        <w:br/>
        <w:t>- Parte IV: Las preguntas implícitas que la encuesta plantea</w:t>
      </w:r>
    </w:p>
    <w:p>
      <w:pPr>
        <w:pStyle w:val="Heading3"/>
        <w:keepNext/>
        <w:keepLines/>
      </w:pPr>
      <w:r>
        <w:t>(d) Mapeo Normativo — mapeo-normativo.md</w:t>
      </w:r>
    </w:p>
    <w:p>
      <w:r>
        <w:rPr>
          <w:b/>
        </w:rPr>
        <w:t>Contenido:</w:t>
      </w:r>
      <w:r>
        <w:t xml:space="preserve"> Cuatro tablas de correspondencia normativa exhaustiva.</w:t>
      </w:r>
    </w:p>
    <w:p>
      <w:r>
        <w:rPr>
          <w:b/>
        </w:rPr>
        <w:t>Tablas incluidas:</w:t>
      </w:r>
      <w:r/>
      <w:r>
        <w:br/>
        <w:t xml:space="preserve">- </w:t>
      </w:r>
      <w:r>
        <w:rPr>
          <w:b/>
        </w:rPr>
        <w:t>Tabla 1:</w:t>
      </w:r>
      <w:r>
        <w:t xml:space="preserve"> Mapeo completo pregunta ↔ Dominio FISMA ↔ Función CSF 2.0 ↔ ENS ↔ NIS2 ↔ NIST SP (60 filas)</w:t>
      </w:r>
      <w:r/>
      <w:r>
        <w:br/>
        <w:t xml:space="preserve">- </w:t>
      </w:r>
      <w:r>
        <w:rPr>
          <w:b/>
        </w:rPr>
        <w:t>Tabla 2:</w:t>
      </w:r>
      <w:r>
        <w:t xml:space="preserve"> Cobertura de los 29 indicadores FISMA FY2025 por pregunta de la encuesta</w:t>
      </w:r>
      <w:r/>
      <w:r>
        <w:br/>
        <w:t xml:space="preserve">- </w:t>
      </w:r>
      <w:r>
        <w:rPr>
          <w:b/>
        </w:rPr>
        <w:t>Tabla 3:</w:t>
      </w:r>
      <w:r>
        <w:t xml:space="preserve"> Cobertura del ENS artículo por artículo del RD 311/2022</w:t>
      </w:r>
      <w:r/>
      <w:r>
        <w:br/>
        <w:t xml:space="preserve">- </w:t>
      </w:r>
      <w:r>
        <w:rPr>
          <w:b/>
        </w:rPr>
        <w:t>Tabla 4:</w:t>
      </w:r>
      <w:r>
        <w:t xml:space="preserve"> Cobertura de la Directiva NIS2 artículo por artículo</w:t>
      </w:r>
    </w:p>
    <w:p>
      <w:r>
        <w:rPr>
          <w:b/>
        </w:rPr>
        <w:t>Uso principal:</w:t>
      </w:r>
      <w:r>
        <w:t xml:space="preserve"> Validación de contenido del instrumento para publicación académica; justificación de la cobertura normativa ante auditores o reguladores.</w:t>
      </w:r>
    </w:p>
    <w:p>
      <w:pPr>
        <w:pStyle w:val="Heading3"/>
        <w:keepNext/>
        <w:keepLines/>
      </w:pPr>
      <w:r>
        <w:t>(e) Plantilla IGM y ROSI — plantilla-igm-rosi.md</w:t>
      </w:r>
    </w:p>
    <w:p>
      <w:r>
        <w:rPr>
          <w:b/>
        </w:rPr>
        <w:t>Contenido:</w:t>
      </w:r>
      <w:r>
        <w:t xml:space="preserve"> Diseño completo de libro Excel con 8 pestañas.</w:t>
      </w:r>
    </w:p>
    <w:p>
      <w:r>
        <w:rPr>
          <w:b/>
        </w:rPr>
        <w:t>Pestañas descritas:</w:t>
      </w:r>
      <w:r/>
      <w:r>
        <w:br/>
        <w:t>1. INICIO — Portada e instrucciones</w:t>
      </w:r>
      <w:r/>
      <w:r>
        <w:br/>
        <w:t>2. DATOS_ORG — 13 campos de datos de la organización</w:t>
      </w:r>
      <w:r/>
      <w:r>
        <w:br/>
        <w:t>3. RESPUESTAS — Codificación de las 60 respuestas con fórmulas SI anidadas</w:t>
      </w:r>
      <w:r/>
      <w:r>
        <w:br/>
        <w:t>4. IGM_CALCULO — Índice Global de Madurez ponderado + gráfico radar</w:t>
      </w:r>
      <w:r/>
      <w:r>
        <w:br/>
        <w:t>5. ROSI_CALCULO — Cálculo de ALE, ROSI, payback y VAN a 3 años</w:t>
      </w:r>
      <w:r/>
      <w:r>
        <w:br/>
        <w:t>6. DASHBOARD — Panel visual de KPIs con formato condicional de color</w:t>
      </w:r>
      <w:r/>
      <w:r>
        <w:br/>
        <w:t>7. BENCHMARKS — Datos sectoriales de referencia (España + EU + FISMA EE.UU.)</w:t>
      </w:r>
      <w:r/>
      <w:r>
        <w:br/>
        <w:t>8. POA_M — Plan de Acción y Mejora con priorización automática</w:t>
      </w:r>
    </w:p>
    <w:p>
      <w:r>
        <w:rPr>
          <w:b/>
        </w:rPr>
        <w:t>Fórmulas clave incluidas:</w:t>
      </w:r>
      <w:r/>
      <w:r>
        <w:br/>
        <w:t xml:space="preserve">- IGM ponderado: </w:t>
      </w:r>
      <w:r>
        <w:rPr>
          <w:rFonts w:ascii="Courier New" w:hAnsi="Courier New"/>
          <w:sz w:val="18"/>
        </w:rPr>
        <w:t>Σ(Puntuación_media_módulo × Ponderación)</w:t>
      </w:r>
      <w:r/>
      <w:r>
        <w:br/>
        <w:t xml:space="preserve">- ROSI: </w:t>
      </w:r>
      <w:r>
        <w:rPr>
          <w:rFonts w:ascii="Courier New" w:hAnsi="Courier New"/>
          <w:sz w:val="18"/>
        </w:rPr>
        <w:t>(ALE_antes - ALE_después - Coste_control) / Coste_control</w:t>
      </w:r>
      <w:r/>
      <w:r>
        <w:br/>
        <w:t xml:space="preserve">- VAN 3 años: </w:t>
      </w:r>
      <w:r>
        <w:rPr>
          <w:rFonts w:ascii="Courier New" w:hAnsi="Courier New"/>
          <w:sz w:val="18"/>
        </w:rPr>
        <w:t>VNA(8%, ahorro_año1, ahorro_año2, ahorro_año3) - inversión_inicial</w:t>
      </w:r>
      <w:r/>
      <w:r>
        <w:br/>
        <w:t>- Priorización POA&amp;M: función SI anidada con 4 niveles (CRÍTICA/ALTA/MEDIA/BAJA)</w:t>
      </w:r>
    </w:p>
    <w:p>
      <w:pPr>
        <w:pStyle w:val="Heading3"/>
        <w:keepNext/>
        <w:keepLines/>
      </w:pPr>
      <w:r>
        <w:t>(f) Plantilla Reporte Ejecutivo — reporte-ejecutivo-ppt.md</w:t>
      </w:r>
    </w:p>
    <w:p>
      <w:r>
        <w:rPr>
          <w:b/>
        </w:rPr>
        <w:t>Contenido:</w:t>
      </w:r>
      <w:r>
        <w:t xml:space="preserve"> Descripción diapositiva a diapositiva de una presentación PowerPoint de 18+5 slides.</w:t>
      </w:r>
    </w:p>
    <w:p>
      <w:r>
        <w:rPr>
          <w:b/>
        </w:rPr>
        <w:t>Estructura:</w:t>
      </w:r>
      <w:r/>
      <w:r>
        <w:br/>
        <w:t>- Diapositivas 1-4: Contexto, metodología, portada</w:t>
      </w:r>
      <w:r/>
      <w:r>
        <w:br/>
        <w:t>- Diapositivas 5-8: Resultados principales (IGM, radar, tabla, benchmarks)</w:t>
      </w:r>
      <w:r/>
      <w:r>
        <w:br/>
        <w:t>- Diapositivas 9-11: Hallazgos críticos, análisis de riesgo, acciones prioritarias</w:t>
      </w:r>
      <w:r/>
      <w:r>
        <w:br/>
        <w:t>- Diapositivas 12-15: Hoja de ruta, marco normativo, comparativa FISMA/ENS/NIS2, amenazas emergentes</w:t>
      </w:r>
      <w:r/>
      <w:r>
        <w:br/>
        <w:t>- Diapositivas 16-18: Decisiones propuestas, fuentes, cierre</w:t>
      </w:r>
      <w:r/>
      <w:r>
        <w:br/>
        <w:t>- Diapositivas 19-23 (opcionales): Detalle técnico ampliado</w:t>
      </w:r>
    </w:p>
    <w:p>
      <w:r>
        <w:rPr>
          <w:b/>
        </w:rPr>
        <w:t>Paleta de colores:</w:t>
      </w:r>
      <w:r>
        <w:t xml:space="preserve"> Azul corporativo #003366 | Rojo alerta #DC2626 | Ámbar #D97706 | Verde efectivo #16A34A</w:t>
      </w:r>
    </w:p>
    <w:p>
      <w:pPr>
        <w:pStyle w:val="Heading3"/>
        <w:keepNext/>
        <w:keepLines/>
      </w:pPr>
      <w:r>
        <w:t>(g) README — README.md</w:t>
      </w:r>
    </w:p>
    <w:p>
      <w:r>
        <w:rPr>
          <w:b/>
        </w:rPr>
        <w:t>Contenido:</w:t>
      </w:r>
      <w:r>
        <w:t xml:space="preserve"> Este documento. Guía de inicio rápido, descripción del kit y referencias.</w:t>
      </w:r>
    </w:p>
    <w:p>
      <w:pPr>
        <w:pStyle w:val="Heading2"/>
        <w:keepNext/>
        <w:keepLines/>
      </w:pPr>
      <w:r>
        <w:rPr>
          <w:color w:val="0066CC"/>
        </w:rPr>
        <w:t>BASES NORMATIVAS DEL KIT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Documento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Organismo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Fecha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Relevancia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FY2025 IG FISMA Reporting Metrics v2.0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CIGIE / OMB / CISA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 abril 2025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Marco métrico primario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OMB Memorándum M-25-04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OMB / White House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14 enero 2025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Guía de reporte FY2025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NIST Cybersecurity Framework 2.0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NIST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Febrero 2024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Estructura de funciones y dominios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NIST SP 800-53 Rev. 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NIST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Septiembre 2020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Controles técnicos de referencia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NIST SP 800-207 (Zero Trust)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NIST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Agosto 2020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Arquitectura Zero Trust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CISA Zero Trust Maturity Model v2.0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CISA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Abril 2023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Métricas ZTA suplementarias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Real Decreto 311/2022 (ENS)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Gobierno de España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 mayo 2022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Marco normativo español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Directiva UE 2022/2555 (NIS2)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Parlamento Europeo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14 diciembre 2022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Marco europeo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Anteproyecto Ley Coord. y Gobernanza Ciberseg.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DSN / Gobierno España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14 enero 2025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Transposición NIS2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ENISA NIS Investments 2025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ENISA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Diciembre 2025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Benchmarks europeos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CCN-CERT Informe Ciberamenazas 2025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CCN-CERT / CNI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2025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Contexto nacional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INCIBE Balance Ciberseguridad 2025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INCIBE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Febrero 2026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Estadísticas nacionales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LICENCIA Y CONDICIONES DE USO</w:t>
      </w:r>
    </w:p>
    <w:p>
      <w:r>
        <w:t xml:space="preserve">Este kit se distribuye bajo licencia </w:t>
      </w:r>
      <w:r>
        <w:rPr>
          <w:b/>
        </w:rPr>
        <w:t>Creative Commons Attribution-NonCommercial 4.0 International (CC BY-NC 4.0)</w:t>
      </w:r>
      <w:r>
        <w:t>:</w:t>
      </w:r>
    </w:p>
    <w:p>
      <w:pPr>
        <w:pStyle w:val="ListBullet"/>
        <w:keepLines w:val="1"/>
        <w:keepNext w:val="1"/>
        <w:widowControl w:val="1"/>
      </w:pPr>
      <w:r>
        <w:t>✅ Permitido: Usar, copiar, distribuir y adaptar el instrumento para fines de investigación, docencia y autodiagnóstico no comercial.</w:t>
      </w:r>
    </w:p>
    <w:p>
      <w:pPr>
        <w:pStyle w:val="ListBullet"/>
        <w:keepLines w:val="1"/>
        <w:keepNext w:val="1"/>
        <w:widowControl w:val="1"/>
      </w:pPr>
      <w:r>
        <w:t>✅ Permitido: Publicar resultados basados en este instrumento citando la fuente.</w:t>
      </w:r>
    </w:p>
    <w:p>
      <w:pPr>
        <w:pStyle w:val="ListBullet"/>
        <w:keepLines w:val="1"/>
        <w:keepNext w:val="1"/>
        <w:widowControl w:val="1"/>
      </w:pPr>
      <w:r>
        <w:t>❌ No permitido: Uso comercial sin autorización expresa del equipo investigador.</w:t>
      </w:r>
    </w:p>
    <w:p>
      <w:pPr>
        <w:pStyle w:val="ListBullet"/>
        <w:keepLines w:val="1"/>
        <w:widowControl w:val="1"/>
      </w:pPr>
      <w:r>
        <w:t>📝 Requisito: Citar el instrumento como: "Kit de Encuesta FISMA 2025 — Diagnóstico de Madurez en Ciberseguridad Institucional, Versión 1.0, Abril 2026. Basado en FY2025 IG FISMA Reporting Metrics v2.0, NIST CSF 2.0, ENS RD 311/2022 y Directiva NIS2."</w:t>
      </w:r>
    </w:p>
    <w:p>
      <w:pPr>
        <w:pStyle w:val="Heading2"/>
        <w:keepNext/>
        <w:keepLines/>
      </w:pPr>
      <w:r>
        <w:rPr>
          <w:color w:val="0066CC"/>
        </w:rPr>
        <w:t>CÓMO CITAR ESTE KIT</w:t>
      </w:r>
    </w:p>
    <w:p>
      <w:r>
        <w:rPr>
          <w:b/>
        </w:rPr>
        <w:t>Formato APA 7:</w:t>
      </w:r>
    </w:p>
    <w:p>
      <w:r>
        <w:t xml:space="preserve">Consorcio de Investigación FISMA 2025. (2026). </w:t>
      </w:r>
      <w:r>
        <w:rPr>
          <w:i/>
        </w:rPr>
        <w:t>Kit de Encuesta para el Diagnóstico de Madurez en Ciberseguridad Institucional basado en Indicadores FISMA FY2025: Aplicación territorial en España</w:t>
      </w:r>
      <w:r>
        <w:t>. Versión 1.0. Publicación independiente.</w:t>
      </w:r>
    </w:p>
    <w:p>
      <w:r>
        <w:rPr>
          <w:b/>
        </w:rPr>
        <w:t>Formato IEEE:</w:t>
      </w:r>
    </w:p>
    <w:p>
      <w:r>
        <w:t>Consorcio de Investigación FISMA 2025, "Kit de Encuesta para el Diagnóstico de Madurez en Ciberseguridad Institucional basado en Indicadores FISMA FY2025," Versión 1.0, abril 2026.</w:t>
      </w:r>
    </w:p>
    <w:p>
      <w:pPr>
        <w:pStyle w:val="Heading2"/>
        <w:keepNext/>
        <w:keepLines/>
      </w:pPr>
      <w:r>
        <w:rPr>
          <w:color w:val="0066CC"/>
        </w:rPr>
        <w:t>CONTACTO Y ACTUALIZACIONES</w:t>
      </w:r>
    </w:p>
    <w:p>
      <w:r>
        <w:rPr>
          <w:b/>
        </w:rPr>
        <w:t>Versiones futuras previstas:</w:t>
      </w:r>
    </w:p>
    <w:p>
      <w:pPr>
        <w:pStyle w:val="ListBullet"/>
        <w:keepLines w:val="1"/>
        <w:keepNext w:val="1"/>
        <w:widowControl w:val="1"/>
      </w:pPr>
      <w:r>
        <w:t>v1.1 (Q3 2026): Incorporación de primeros datos empíricos de la encuesta piloto; calibración de benchmarks con datos reales.</w:t>
      </w:r>
    </w:p>
    <w:p>
      <w:pPr>
        <w:pStyle w:val="ListBullet"/>
        <w:keepLines w:val="1"/>
        <w:widowControl w:val="1"/>
      </w:pPr>
      <w:r>
        <w:t>v2.0 (2027): Actualización a FY2026 FISMA Metrics; incorporación de métricas PQC (criptografía post-cuántica); extensión al sector privado NIS2.</w:t>
      </w:r>
    </w:p>
    <w:p>
      <w:r>
        <w:rPr>
          <w:b/>
        </w:rPr>
        <w:t>Para reportar errores, sugerir mejoras o solicitar colaboración:</w:t>
      </w:r>
      <w:r/>
      <w:r>
        <w:br/>
        <w:t>Dirigirse al equipo investigador a través de los canales institucionales indicados en el protocolo de investigación asociado.</w:t>
      </w:r>
    </w:p>
    <w:p>
      <w:pPr>
        <w:pStyle w:val="Heading2"/>
        <w:keepNext/>
        <w:keepLines/>
      </w:pPr>
      <w:r>
        <w:rPr>
          <w:color w:val="0066CC"/>
        </w:rPr>
        <w:t>AGRADECIMIENTOS</w:t>
      </w:r>
    </w:p>
    <w:p>
      <w:r>
        <w:t>Este kit no habría sido posible sin la generosidad intelectual de:</w:t>
      </w:r>
      <w:r/>
      <w:r>
        <w:br/>
        <w:t xml:space="preserve">- El </w:t>
      </w:r>
      <w:r>
        <w:rPr>
          <w:b/>
        </w:rPr>
        <w:t>NIST</w:t>
      </w:r>
      <w:r>
        <w:t>, por publicar sus marcos de referencia en acceso abierto.</w:t>
      </w:r>
      <w:r/>
      <w:r>
        <w:br/>
        <w:t xml:space="preserve">- El </w:t>
      </w:r>
      <w:r>
        <w:rPr>
          <w:b/>
        </w:rPr>
        <w:t>CCN-CERT</w:t>
      </w:r>
      <w:r>
        <w:t xml:space="preserve"> y el </w:t>
      </w:r>
      <w:r>
        <w:rPr>
          <w:b/>
        </w:rPr>
        <w:t>INCIBE</w:t>
      </w:r>
      <w:r>
        <w:t>, por sus informes anuales que proveen el contexto nacional.</w:t>
      </w:r>
      <w:r/>
      <w:r>
        <w:br/>
        <w:t xml:space="preserve">- La </w:t>
      </w:r>
      <w:r>
        <w:rPr>
          <w:b/>
        </w:rPr>
        <w:t>ENISA</w:t>
      </w:r>
      <w:r>
        <w:t>, por su trabajo de benchmarking europeo en el informe NIS Investments 2025.</w:t>
      </w:r>
      <w:r/>
      <w:r>
        <w:br/>
        <w:t xml:space="preserve">- Los </w:t>
      </w:r>
      <w:r>
        <w:rPr>
          <w:b/>
        </w:rPr>
        <w:t>Inspectores Generales federales</w:t>
      </w:r>
      <w:r>
        <w:t xml:space="preserve"> que publican sus auditorías FISMA cada año, demostrando que la transparencia y el rigor no son incompatibles con la seguridad nacional.</w:t>
      </w:r>
      <w:r/>
      <w:r>
        <w:br/>
        <w:t>- Y todos los CISOs, directivos y responsables de seguridad que, cada día, hacen el trabajo invisible de mantener en pie los sistemas de los que dependen los ciudadanos.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Kit de Encuesta FISMA 2025 · Versión 1.0 · Abril 2026</w:t>
        <w:br/>
        <w:t>"Medir es el primer acto de inteligencia."</w:t>
        <w:br/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