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Kit de Encuesta FISMA 2025 — Diagnóstico de Madurez en Ciberseguridad</w:t>
      </w:r>
    </w:p>
    <w:p>
      <w:pPr>
        <w:pStyle w:val="Heading3"/>
        <w:keepNext/>
        <w:keepLines/>
      </w:pPr>
      <w:r>
        <w:t>Documento de referencia para investigadores, administradores de encuesta y analistas</w:t>
      </w:r>
    </w:p>
    <w:p>
      <w:pPr>
        <w:pStyle w:val="Heading2"/>
        <w:keepNext/>
        <w:keepLines/>
      </w:pPr>
      <w:r>
        <w:rPr>
          <w:color w:val="0066CC"/>
        </w:rPr>
        <w:t>1. FUNDAMENTOS METODOLÓGICOS</w:t>
      </w:r>
    </w:p>
    <w:p>
      <w:pPr>
        <w:pStyle w:val="Heading3"/>
        <w:keepNext/>
        <w:keepLines/>
      </w:pPr>
      <w:r>
        <w:t>1.1 Diseño del Instrumento</w:t>
      </w:r>
    </w:p>
    <w:p>
      <w:r>
        <w:t xml:space="preserve">Esta encuesta está diseñada como un </w:t>
      </w:r>
      <w:r>
        <w:rPr>
          <w:b/>
        </w:rPr>
        <w:t>instrumento de diagnóstico mixto</w:t>
      </w:r>
      <w:r>
        <w:t xml:space="preserve"> que combina:</w:t>
      </w:r>
    </w:p>
    <w:p>
      <w:pPr>
        <w:pStyle w:val="ListBullet"/>
        <w:keepLines w:val="1"/>
        <w:keepNext w:val="1"/>
        <w:widowControl w:val="1"/>
      </w:pPr>
      <w:r>
        <w:t>Escala Likert de madurez ordinal (5 niveles): Para la mayoría de preguntas de opción múltiple, las respuestas A-E siguen una escala de madurez ascendente (de menos a más maduro), directamente alineada con el modelo de 5 niveles FISMA/NIST (Ad Hoc → Defined → Consistently Implemented → Managed and Measurable → Optimized).</w:t>
      </w:r>
    </w:p>
    <w:p>
      <w:pPr>
        <w:pStyle w:val="ListBullet"/>
        <w:keepLines w:val="1"/>
        <w:keepNext w:val="1"/>
        <w:widowControl w:val="1"/>
      </w:pPr>
      <w:r>
        <w:t>Preguntas de opción múltiple no ordinales: Para variables nominales (tipo de entidad, sector, vector de ataque) donde no existe orden jerárquico inherente.</w:t>
      </w:r>
    </w:p>
    <w:p>
      <w:pPr>
        <w:pStyle w:val="ListBullet"/>
        <w:keepLines w:val="1"/>
        <w:keepNext w:val="1"/>
        <w:widowControl w:val="1"/>
      </w:pPr>
      <w:r>
        <w:t>Preguntas abiertas: Para captura de contexto cualitativo que los formatos cerrados no pueden capturar.</w:t>
      </w:r>
    </w:p>
    <w:p>
      <w:pPr>
        <w:pStyle w:val="ListBullet"/>
        <w:keepLines w:val="1"/>
        <w:widowControl w:val="1"/>
      </w:pPr>
      <w:r>
        <w:t>Escala numérica (P59): Para autoevaluación de cultura organizativa.</w:t>
      </w:r>
    </w:p>
    <w:p>
      <w:pPr>
        <w:pStyle w:val="Heading3"/>
        <w:keepNext/>
        <w:keepLines/>
      </w:pPr>
      <w:r>
        <w:t>1.2 Fundamento Teórico</w:t>
      </w:r>
    </w:p>
    <w:p>
      <w:r>
        <w:t>El instrumento se fundamenta en cuatro marcos normativos y metodológicos primarios: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 utilizada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en el instrumento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Cybersecurity Framework (CSF)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 (febrero 2024)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Estructura de los 6 funciones y 10 dominios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FISMA IG Reporting Metrics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FY2025 v2.0 (3 abril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 indicadores de referencia para las preguntas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— Esquema Nacional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normativo español; correlaciones normativas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Directiva NIS2 + Anteproyecto Ley España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2022/0383/EU + enero 2025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Requisitos de notificación, gobernanza, cadena de suministro</w:t>
            </w:r>
          </w:p>
        </w:tc>
      </w:tr>
    </w:tbl>
    <w:p/>
    <w:p>
      <w:pPr>
        <w:pStyle w:val="Heading3"/>
        <w:keepNext/>
        <w:keepLines/>
      </w:pPr>
      <w:r>
        <w:t>1.3 Población Objetivo</w:t>
      </w:r>
    </w:p>
    <w:p>
      <w:r>
        <w:t>La encuesta está diseñada para su aplicación a tres poblaciones distintas:</w:t>
      </w:r>
    </w:p>
    <w:p>
      <w:r>
        <w:rPr>
          <w:b/>
        </w:rPr>
        <w:t>Población A — Administraciones Públicas Autonómicas y Locales:</w:t>
      </w:r>
      <w:r/>
      <w:r>
        <w:br/>
        <w:t>Objetivo principal del estudio. Incluye organismos de Comunidades Autónomas (consejerías, agencias, entes instrumentales), Diputaciones y Ayuntamientos de más de 20.000 habitantes.</w:t>
      </w:r>
    </w:p>
    <w:p>
      <w:r>
        <w:rPr>
          <w:b/>
        </w:rPr>
        <w:t>Población B — Empresas privadas proveedoras del sector público:</w:t>
      </w:r>
      <w:r/>
      <w:r>
        <w:br/>
        <w:t>Entidades privadas que prestan servicios TIC a las AAPP o que gestionan infraestructuras críticas bajo ENS o NIS2.</w:t>
      </w:r>
    </w:p>
    <w:p>
      <w:r>
        <w:rPr>
          <w:b/>
        </w:rPr>
        <w:t>Población C — Infraestructuras críticas y entidades esenciales:</w:t>
      </w:r>
      <w:r/>
      <w:r>
        <w:br/>
        <w:t>Operadores de infraestructuras críticas (CNPIC), entidades esenciales e importantes NIS2 en los 18 sectores definidos por la Directiva.</w:t>
      </w:r>
    </w:p>
    <w:p>
      <w:pPr>
        <w:pStyle w:val="Heading2"/>
        <w:keepNext/>
        <w:keepLines/>
      </w:pPr>
      <w:r>
        <w:rPr>
          <w:color w:val="0066CC"/>
        </w:rPr>
        <w:t>2. PROCESO DE ADMINISTRACIÓN</w:t>
      </w:r>
    </w:p>
    <w:p>
      <w:pPr>
        <w:pStyle w:val="Heading3"/>
        <w:keepNext/>
        <w:keepLines/>
      </w:pPr>
      <w:r>
        <w:t>2.1 Modalidades de Aplicación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Modalidad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estimado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Población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Autoadministración online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Formulario digital (Typeform, LimeSurvey, Microsoft Forms)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45-60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Entrevista asistida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 facilita y aclara dudas en tiempo real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60-90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Pop. A: entidades pequeñas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Versión abreviada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Módulos I, II, IX y XII únicamente (15 preguntas)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20-25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Primera criba; screening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Versión directiva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Módulos I, II, XI, XII y XIV (20 preguntas)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25-30 min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Perfiles de alta dirección</w:t>
            </w:r>
          </w:p>
        </w:tc>
      </w:tr>
    </w:tbl>
    <w:p/>
    <w:p>
      <w:pPr>
        <w:pStyle w:val="Heading3"/>
        <w:keepNext/>
        <w:keepLines/>
      </w:pPr>
      <w:r>
        <w:t>2.2 Instrucciones para el Administrador</w:t>
      </w:r>
    </w:p>
    <w:p>
      <w:r>
        <w:rPr>
          <w:b/>
        </w:rPr>
        <w:t>Antes de distribuir la encuesta:</w:t>
      </w:r>
    </w:p>
    <w:p>
      <w:pPr>
        <w:pStyle w:val="ListNumber"/>
        <w:keepLines w:val="1"/>
        <w:keepNext w:val="1"/>
        <w:widowControl w:val="1"/>
      </w:pPr>
      <w:r>
        <w:t>Verificar que el respondente tiene el perfil adecuado para responder al módulo (ver tabla de correspondencia en Sección 5).</w:t>
      </w:r>
    </w:p>
    <w:p>
      <w:pPr>
        <w:pStyle w:val="ListNumber"/>
        <w:keepLines w:val="1"/>
        <w:keepNext w:val="1"/>
        <w:widowControl w:val="1"/>
      </w:pPr>
      <w:r>
        <w:t>Garantizar que el respondente entiende que no se busca la respuesta correcta sino la respuesta honesta; las respuestas en los niveles inferiores no son penalizadas y son más valiosas para el diagnóstico.</w:t>
      </w:r>
    </w:p>
    <w:p>
      <w:pPr>
        <w:pStyle w:val="ListNumber"/>
        <w:keepLines w:val="1"/>
        <w:keepNext w:val="1"/>
        <w:widowControl w:val="1"/>
      </w:pPr>
      <w:r>
        <w:t>Informar sobre el tratamiento de datos y obtener consentimiento explícito.</w:t>
      </w:r>
    </w:p>
    <w:p>
      <w:pPr>
        <w:pStyle w:val="ListNumber"/>
        <w:keepLines w:val="1"/>
        <w:widowControl w:val="1"/>
      </w:pPr>
      <w:r>
        <w:t>Asignar un código de organización para preservar el anonimato en el análisis agregado.</w:t>
      </w:r>
    </w:p>
    <w:p>
      <w:r>
        <w:rPr>
          <w:b/>
        </w:rPr>
        <w:t>Durante la administración:</w:t>
      </w:r>
    </w:p>
    <w:p>
      <w:pPr>
        <w:pStyle w:val="ListBullet"/>
        <w:keepLines w:val="1"/>
        <w:keepNext w:val="1"/>
        <w:widowControl w:val="1"/>
      </w:pPr>
      <w:r>
        <w:t>No sugerir respuestas ni interpretar las preguntas de forma directiva.</w:t>
      </w:r>
    </w:p>
    <w:p>
      <w:pPr>
        <w:pStyle w:val="ListBullet"/>
        <w:keepLines w:val="1"/>
        <w:keepNext w:val="1"/>
        <w:widowControl w:val="1"/>
      </w:pPr>
      <w:r>
        <w:t>Anotar observaciones contextuales que el respondente verbalice y que enriquezcan el análisis.</w:t>
      </w:r>
    </w:p>
    <w:p>
      <w:pPr>
        <w:pStyle w:val="ListBullet"/>
        <w:keepLines w:val="1"/>
        <w:widowControl w:val="1"/>
      </w:pPr>
      <w:r>
        <w:t>Registrar el tiempo de cumplimentación para calibración del instrumento en posteriores aplicaciones.</w:t>
      </w:r>
    </w:p>
    <w:p>
      <w:r>
        <w:rPr>
          <w:b/>
        </w:rPr>
        <w:t>Después de la recogida:</w:t>
      </w:r>
    </w:p>
    <w:p>
      <w:pPr>
        <w:pStyle w:val="ListBullet"/>
        <w:keepLines w:val="1"/>
        <w:keepNext w:val="1"/>
        <w:widowControl w:val="1"/>
      </w:pPr>
      <w:r>
        <w:t>Validar que no existan respuestas en blanco en los módulos obligatorios (I, IX, XII).</w:t>
      </w:r>
    </w:p>
    <w:p>
      <w:pPr>
        <w:pStyle w:val="ListBullet"/>
        <w:keepLines w:val="1"/>
        <w:keepNext w:val="1"/>
        <w:widowControl w:val="1"/>
      </w:pPr>
      <w:r>
        <w:t>Codificar las respuestas abiertas mediante análisis temático cualitativo.</w:t>
      </w:r>
    </w:p>
    <w:p>
      <w:pPr>
        <w:pStyle w:val="ListBullet"/>
        <w:keepLines w:val="1"/>
        <w:widowControl w:val="1"/>
      </w:pPr>
      <w:r>
        <w:t>Incorporar los datos al sistema de cálculo del IGM (ver Sección 4).</w:t>
      </w:r>
    </w:p>
    <w:p>
      <w:pPr>
        <w:pStyle w:val="Heading2"/>
        <w:keepNext/>
        <w:keepLines/>
      </w:pPr>
      <w:r>
        <w:rPr>
          <w:color w:val="0066CC"/>
        </w:rPr>
        <w:t>3. SISTEMA DE CODIFICACIÓN Y PUNTUACIÓN</w:t>
      </w:r>
    </w:p>
    <w:p>
      <w:pPr>
        <w:pStyle w:val="Heading3"/>
        <w:keepNext/>
        <w:keepLines/>
      </w:pPr>
      <w:r>
        <w:t>3.1 Escala de Madurez por Respuesta</w:t>
      </w:r>
    </w:p>
    <w:p>
      <w:r>
        <w:t>Para las preguntas de escala ordinal (mayoría del instrumento):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FISMA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base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4-5 (Managed &amp; Measurable / Optimized)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4-5 puntos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3-4 (Consistently Implemented / parcialmente Managed)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3-4 puntos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2-3 (Defined / parcialmente Consistently Implemented)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2-3 puntos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1-2 (Ad Hoc / parcialmente Defined)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1-2 puntos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Nivel 1 (Ad Hoc)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 punto</w:t>
            </w:r>
          </w:p>
        </w:tc>
      </w:tr>
    </w:tbl>
    <w:p/>
    <w:p>
      <w:r>
        <w:rPr>
          <w:b/>
        </w:rPr>
        <w:t>Nota importante:</w:t>
      </w:r>
      <w:r>
        <w:t xml:space="preserve"> La puntuación exacta por pregunta está detallada en la Plantilla Excel (documento e del Kit). Las preguntas de opción múltiple no ordinal (P52 vector de ataque, P46 obstáculos NIS2) no puntúan en la escala IGM pero alimentan el análisis cualitativo.</w:t>
      </w:r>
    </w:p>
    <w:p>
      <w:pPr>
        <w:pStyle w:val="Heading3"/>
        <w:keepNext/>
        <w:keepLines/>
      </w:pPr>
      <w:r>
        <w:t>3.2 Ponderación por Dominio</w:t>
      </w:r>
    </w:p>
    <w:p>
      <w:r>
        <w:t xml:space="preserve">Los dominios FISMA FY2025 tienen ponderaciones diferenciadas en el cálculo del </w:t>
      </w:r>
      <w:r>
        <w:rPr>
          <w:b/>
        </w:rPr>
        <w:t>Índice Global de Madurez (IGM)</w:t>
      </w:r>
      <w:r>
        <w:t xml:space="preserve"> según su relevancia estratégica y el perfil de la organización: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 / Dominio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Ponderación estándar (AAPP)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Ponderación ajustada (Infra. Crítica)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II — C-SCRM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III — Gestión de Riesgos/Activos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IV — Gestión de Configuración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 — IDAM / Zero Trust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VI — Protección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VII —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VIII — Monitorización Continua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IX — Respuesta a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X — Continuidad de Negocio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100%</w:t>
            </w:r>
          </w:p>
        </w:tc>
      </w:tr>
    </w:tbl>
    <w:p/>
    <w:p>
      <w:pPr>
        <w:pStyle w:val="Heading3"/>
        <w:keepNext/>
        <w:keepLines/>
      </w:pPr>
      <w:r>
        <w:t>3.3 Cálculo del IGM (Índice Global de Madurez)</w:t>
      </w:r>
    </w:p>
    <w:p>
      <w:r>
        <w:t>El IGM se calcula como la suma ponderada de las puntuaciones medias por módulo: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Σ (Puntuación_media_módulo_i × Ponderación_i)</w:t>
        <w:br/>
      </w:r>
    </w:p>
    <w:p>
      <w:r>
        <w:t>Escala IGM resultante: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de madurez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 – 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 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Intervención urgente requerida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1.5 – 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 prioritaria; riesgo elevado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2.5 – 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Consistently Implemented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 debajo del umbral de efectividad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3.5 – 4.5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Managed &amp; Measurable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Umbral de efectividad FISMA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4.5 – 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Optimized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Referencia de excelencia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CÁLCULO DEL ROI EN CIBERSEGURIDAD</w:t>
      </w:r>
    </w:p>
    <w:p>
      <w:pPr>
        <w:pStyle w:val="Heading3"/>
        <w:keepNext/>
        <w:keepLines/>
      </w:pPr>
      <w:r>
        <w:t>4.1 Marco Conceptual</w:t>
      </w:r>
    </w:p>
    <w:p>
      <w:r>
        <w:t xml:space="preserve">El </w:t>
      </w:r>
      <w:r>
        <w:rPr>
          <w:b/>
        </w:rPr>
        <w:t>Retorno sobre la Inversión en Ciberseguridad (ROSI)</w:t>
      </w:r>
      <w:r>
        <w:t xml:space="preserve"> se calcula mediante la metodología del </w:t>
      </w:r>
      <w:r>
        <w:rPr>
          <w:b/>
        </w:rPr>
        <w:t>Factor de Riesgo Anual (ALE)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(ALEantes - ALEdespués - Coste_control) / Coste_control</w:t>
        <w:br/>
        <w:br/>
        <w:t>Donde:</w:t>
        <w:br/>
        <w:t>- ALE (Annual Loss Expectancy) = ARO × SLE</w:t>
        <w:br/>
        <w:t>- ARO (Annual Rate of Occurrence) = probabilidad anualizada del incidente</w:t>
        <w:br/>
        <w:t>- SLE (Single Loss Expectancy) = impacto económico estimado de un incidente</w:t>
        <w:br/>
      </w:r>
    </w:p>
    <w:p>
      <w:pPr>
        <w:pStyle w:val="Heading3"/>
        <w:keepNext/>
        <w:keepLines/>
      </w:pPr>
      <w:r>
        <w:t>4.2 Variables de Entrada (alimentadas por la encuesta)</w:t>
      </w:r>
    </w:p>
    <w:p>
      <w:pPr>
        <w:pStyle w:val="ListBullet"/>
        <w:keepLines w:val="1"/>
        <w:keepNext w:val="1"/>
        <w:widowControl w:val="1"/>
      </w:pPr>
      <w:r>
        <w:t>P51 (Presupuesto de ciberseguridad): variable de coste de control.</w:t>
      </w:r>
    </w:p>
    <w:p>
      <w:pPr>
        <w:pStyle w:val="ListBullet"/>
        <w:keepLines w:val="1"/>
        <w:keepNext w:val="1"/>
        <w:widowControl w:val="1"/>
      </w:pPr>
      <w:r>
        <w:t>P52 (Incidentes sufridos): variable proxy para ARO.</w:t>
      </w:r>
    </w:p>
    <w:p>
      <w:pPr>
        <w:pStyle w:val="ListBullet"/>
        <w:keepLines w:val="1"/>
        <w:keepNext w:val="1"/>
        <w:widowControl w:val="1"/>
      </w:pPr>
      <w:r>
        <w:t>P50 (Nivel de madurez autoevaluado): variable de ajuste del SLE.</w:t>
      </w:r>
    </w:p>
    <w:p>
      <w:pPr>
        <w:pStyle w:val="ListBullet"/>
        <w:keepLines w:val="1"/>
        <w:widowControl w:val="1"/>
      </w:pPr>
      <w:r>
        <w:t>P41-P43 (RTO/RPO/BCP): variables de impacto económico en continuidad.</w:t>
      </w:r>
    </w:p>
    <w:p>
      <w:pPr>
        <w:pStyle w:val="Heading3"/>
        <w:keepNext/>
        <w:keepLines/>
      </w:pPr>
      <w:r>
        <w:t>4.3 Benchmarks de Referencia para Cálculo ALE</w:t>
      </w:r>
    </w:p>
    <w:p>
      <w:r>
        <w:t>Los benchmarks publicados utilizados como referencia en la Plantilla Excel:</w:t>
      </w:r>
    </w:p>
    <w:p>
      <w:pPr>
        <w:pStyle w:val="ListBullet"/>
        <w:keepLines w:val="1"/>
        <w:keepNext w:val="1"/>
        <w:widowControl w:val="1"/>
      </w:pPr>
      <w:r>
        <w:t>Coste medio incidente de seguridad PYME España 2025: entre 35.000€ y 75.000€ (INCIBE 2025).</w:t>
      </w:r>
    </w:p>
    <w:p>
      <w:pPr>
        <w:pStyle w:val="ListBullet"/>
        <w:keepLines w:val="1"/>
        <w:keepNext w:val="1"/>
        <w:widowControl w:val="1"/>
      </w:pPr>
      <w:r>
        <w:t>Coste medio ransomware empresa mediana (&gt;500 empleados) en España: entre 180.000€ y 1,2M€.</w:t>
      </w:r>
    </w:p>
    <w:p>
      <w:pPr>
        <w:pStyle w:val="ListBullet"/>
        <w:keepLines w:val="1"/>
        <w:keepNext w:val="1"/>
        <w:widowControl w:val="1"/>
      </w:pPr>
      <w:r>
        <w:t>Presupuesto mediano de ciberseguridad entidades NIS UE: 1,5M€ (ENISA NIS Investments 2025).</w:t>
      </w:r>
    </w:p>
    <w:p>
      <w:pPr>
        <w:pStyle w:val="ListBullet"/>
        <w:keepLines w:val="1"/>
        <w:widowControl w:val="1"/>
      </w:pPr>
      <w:r>
        <w:t>Reducción de riesgo por incremento de madurez de nivel 2 a nivel 4: estimada en 60-70% (NIST NICE Framework).</w:t>
      </w:r>
    </w:p>
    <w:p>
      <w:pPr>
        <w:pStyle w:val="Heading2"/>
        <w:keepNext/>
        <w:keepLines/>
      </w:pPr>
      <w:r>
        <w:rPr>
          <w:color w:val="0066CC"/>
        </w:rPr>
        <w:t>5. CORRESPONDENCIA PERFIL-MÓDULO</w:t>
      </w:r>
    </w:p>
    <w:p>
      <w:pPr>
        <w:pStyle w:val="Heading3"/>
        <w:keepNext/>
        <w:keepLines/>
      </w:pPr>
      <w:r>
        <w:t>5.1 Módulos Obligatorios por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 obligatorios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 opcionales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/ Responsable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II, III, IV, V, VI, VIII, IX, X, XII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VII, XI, XIII, XIV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CIO / Director TI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III, IV, V, VIII, IX, X, XII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II, VI, XI, XIII, XIV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Director General /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II, IX, XI, XII, XIV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 los demás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DPO / Responsable Cumplimiento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II, VI, XI, XII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III, IV, IX, XIV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Técnico de Ciberseguridad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III, IV, V, VIII, IX, X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I, II, XI, XII, XIII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TRATAMIENTO DE DATOS Y ANÁLISIS</w:t>
      </w:r>
    </w:p>
    <w:p>
      <w:pPr>
        <w:pStyle w:val="Heading3"/>
        <w:keepNext/>
        <w:keepLines/>
      </w:pPr>
      <w:r>
        <w:t>6.1 Análisis Cuantitativo</w:t>
      </w:r>
    </w:p>
    <w:p>
      <w:pPr>
        <w:pStyle w:val="ListNumber"/>
        <w:keepLines w:val="1"/>
        <w:keepNext w:val="1"/>
        <w:widowControl w:val="1"/>
      </w:pPr>
      <w:r>
        <w:t>Análisis univariado: Distribución de frecuencias por pregunta y opción de respuesta; medias, medianas y modas por módulo.</w:t>
      </w:r>
    </w:p>
    <w:p>
      <w:pPr>
        <w:pStyle w:val="ListNumber"/>
        <w:keepLines w:val="1"/>
        <w:keepNext w:val="1"/>
        <w:widowControl w:val="1"/>
      </w:pPr>
      <w:r>
        <w:t>Análisis bivariado: Correlaciones entre IGM y variables de caracterización (tipo de entidad, tamaño, CC.AA., sector).</w:t>
      </w:r>
    </w:p>
    <w:p>
      <w:pPr>
        <w:pStyle w:val="ListNumber"/>
        <w:keepLines w:val="1"/>
        <w:keepNext w:val="1"/>
        <w:widowControl w:val="1"/>
      </w:pPr>
      <w:r>
        <w:t>Análisis comparativo: Benchmarking entre organizaciones, comunidades autónomas y sectores.</w:t>
      </w:r>
    </w:p>
    <w:p>
      <w:pPr>
        <w:pStyle w:val="ListNumber"/>
        <w:keepLines w:val="1"/>
        <w:widowControl w:val="1"/>
      </w:pPr>
      <w:r>
        <w:t>Análisis de regresión: Identificación de predictores del nivel de madurez global (qué variables organizativas correlacionan más fuertemente con el IGM).</w:t>
      </w:r>
    </w:p>
    <w:p>
      <w:pPr>
        <w:pStyle w:val="Heading3"/>
        <w:keepNext/>
        <w:keepLines/>
      </w:pPr>
      <w:r>
        <w:t>6.2 Análisis Cualitativo</w:t>
      </w:r>
    </w:p>
    <w:p>
      <w:r>
        <w:t>Las preguntas abiertas (P56, P57, P58) se analizan mediante:</w:t>
      </w:r>
    </w:p>
    <w:p>
      <w:pPr>
        <w:pStyle w:val="ListNumber"/>
        <w:keepLines w:val="1"/>
        <w:keepNext w:val="1"/>
        <w:widowControl w:val="1"/>
      </w:pPr>
      <w:r>
        <w:t>Análisis temático inductivo: Identificación de categorías emergentes en los obstáculos identificados.</w:t>
      </w:r>
    </w:p>
    <w:p>
      <w:pPr>
        <w:pStyle w:val="ListNumber"/>
        <w:keepLines w:val="1"/>
        <w:keepNext w:val="1"/>
        <w:widowControl w:val="1"/>
      </w:pPr>
      <w:r>
        <w:t>Frecuencia de códigos: Cuantificación de la aparición de temas para triangulación con resultados cuantitativos.</w:t>
      </w:r>
    </w:p>
    <w:p>
      <w:pPr>
        <w:pStyle w:val="ListNumber"/>
        <w:keepLines w:val="1"/>
        <w:widowControl w:val="1"/>
      </w:pPr>
      <w:r>
        <w:t>Análisis de sentimiento: Evaluación del tono y la urgencia percibida por los respondentes.</w:t>
      </w:r>
    </w:p>
    <w:p>
      <w:pPr>
        <w:pStyle w:val="Heading3"/>
        <w:keepNext/>
        <w:keepLines/>
      </w:pPr>
      <w:r>
        <w:t>6.3 Validación del Instrumento</w:t>
      </w:r>
    </w:p>
    <w:p>
      <w:r>
        <w:t>Para garantizar la fiabilidad y validez del instrumento en una aplicación a gran escala:</w:t>
      </w:r>
    </w:p>
    <w:p>
      <w:pPr>
        <w:pStyle w:val="ListBullet"/>
        <w:keepLines w:val="1"/>
        <w:keepNext w:val="1"/>
        <w:widowControl w:val="1"/>
      </w:pPr>
      <w:r>
        <w:t>Alfa de Cronbach por módulo: objetivo α &gt; 0,75 por módulo para confirmar consistencia interna.</w:t>
      </w:r>
    </w:p>
    <w:p>
      <w:pPr>
        <w:pStyle w:val="ListBullet"/>
        <w:keepLines w:val="1"/>
        <w:keepNext w:val="1"/>
        <w:widowControl w:val="1"/>
      </w:pPr>
      <w:r>
        <w:t>Validez de contenido: Panel de expertos (CISO, académicos, reguladores) para revisión de la cobertura de los dominios FISMA.</w:t>
      </w:r>
    </w:p>
    <w:p>
      <w:pPr>
        <w:pStyle w:val="ListBullet"/>
        <w:keepLines w:val="1"/>
        <w:keepNext w:val="1"/>
        <w:widowControl w:val="1"/>
      </w:pPr>
      <w:r>
        <w:t>Prueba piloto: Aplicación a una muestra de 15-20 organizaciones antes del despliegue completo; ajuste de redacción y opciones de respuesta según feedback.</w:t>
      </w:r>
    </w:p>
    <w:p>
      <w:pPr>
        <w:pStyle w:val="ListBullet"/>
        <w:keepLines w:val="1"/>
        <w:widowControl w:val="1"/>
      </w:pPr>
      <w:r>
        <w:t>Test-retest: Reaplicación a un subconjunto de 10 organizaciones pasadas 4 semanas para verificar estabilidad temporal.</w:t>
      </w:r>
    </w:p>
    <w:p>
      <w:pPr>
        <w:pStyle w:val="Heading2"/>
        <w:keepNext/>
        <w:keepLines/>
      </w:pPr>
      <w:r>
        <w:rPr>
          <w:color w:val="0066CC"/>
        </w:rPr>
        <w:t>7. CONSIDERACIONES ÉTICAS Y LEGALES</w:t>
      </w:r>
    </w:p>
    <w:p>
      <w:pPr>
        <w:pStyle w:val="Heading3"/>
        <w:keepNext/>
        <w:keepLines/>
      </w:pPr>
      <w:r>
        <w:t>7.1 Protección de Datos</w:t>
      </w:r>
    </w:p>
    <w:p>
      <w:pPr>
        <w:pStyle w:val="ListBullet"/>
        <w:keepLines w:val="1"/>
        <w:keepNext w:val="1"/>
        <w:widowControl w:val="1"/>
      </w:pPr>
      <w:r>
        <w:t>La encuesta trata datos personales (datos profesionales del respondente) y potencialmente datos sensibles sobre la postura de seguridad de la organización.</w:t>
      </w:r>
    </w:p>
    <w:p>
      <w:pPr>
        <w:pStyle w:val="ListBullet"/>
        <w:keepLines w:val="1"/>
        <w:keepNext w:val="1"/>
        <w:widowControl w:val="1"/>
      </w:pPr>
      <w:r>
        <w:t>El tratamiento se basa en el consentimiento explícito del respondente (Art. 6.1.a RGPD).</w:t>
      </w:r>
    </w:p>
    <w:p>
      <w:pPr>
        <w:pStyle w:val="ListBullet"/>
        <w:keepLines w:val="1"/>
        <w:keepNext w:val="1"/>
        <w:widowControl w:val="1"/>
      </w:pPr>
      <w:r>
        <w:t>Los datos de las organizaciones se anonimizarán mediante código antes del análisis y publicación.</w:t>
      </w:r>
    </w:p>
    <w:p>
      <w:pPr>
        <w:pStyle w:val="ListBullet"/>
        <w:keepLines w:val="1"/>
        <w:keepNext w:val="1"/>
        <w:widowControl w:val="1"/>
      </w:pPr>
      <w:r>
        <w:t>Los datos personales de los respondentes se eliminarán tras la finalización del análisis, conforme al principio de limitación del plazo de conservación.</w:t>
      </w:r>
    </w:p>
    <w:p>
      <w:pPr>
        <w:pStyle w:val="ListBullet"/>
        <w:keepLines w:val="1"/>
        <w:widowControl w:val="1"/>
      </w:pPr>
      <w:r>
        <w:t>Se designará un Responsable del Tratamiento (entidad investigadora) y, si aplica, un DPO conforme al Art. 37 RGPD.</w:t>
      </w:r>
    </w:p>
    <w:p>
      <w:pPr>
        <w:pStyle w:val="Heading3"/>
        <w:keepNext/>
        <w:keepLines/>
      </w:pPr>
      <w:r>
        <w:t>7.2 Seguridad de los Datos de la Encuesta</w:t>
      </w:r>
    </w:p>
    <w:p>
      <w:pPr>
        <w:pStyle w:val="ListBullet"/>
        <w:keepLines w:val="1"/>
        <w:keepNext w:val="1"/>
        <w:widowControl w:val="1"/>
      </w:pPr>
      <w:r>
        <w:t>La plataforma de encuesta debe cumplir con ENS categoría Media como mínimo o disponer de certificación equivalente (ISO 27001, SOC2 Tipo II).</w:t>
      </w:r>
    </w:p>
    <w:p>
      <w:pPr>
        <w:pStyle w:val="ListBullet"/>
        <w:keepLines w:val="1"/>
        <w:keepNext w:val="1"/>
        <w:widowControl w:val="1"/>
      </w:pPr>
      <w:r>
        <w:t>Los datos deben transmitirse con cifrado TLS 1.2+ y almacenarse cifrados en reposo.</w:t>
      </w:r>
    </w:p>
    <w:p>
      <w:pPr>
        <w:pStyle w:val="ListBullet"/>
        <w:keepLines w:val="1"/>
        <w:widowControl w:val="1"/>
      </w:pPr>
      <w:r>
        <w:t>El acceso a los datos en bruto se limitará al equipo investigador con control de acceso basado en roles.</w:t>
      </w:r>
    </w:p>
    <w:p>
      <w:pPr>
        <w:pStyle w:val="Heading2"/>
        <w:keepNext/>
        <w:keepLines/>
      </w:pPr>
      <w:r>
        <w:rPr>
          <w:color w:val="0066CC"/>
        </w:rPr>
        <w:t>8. PLAN DE DIFUSIÓN Y RECOGIDA</w:t>
      </w:r>
    </w:p>
    <w:p>
      <w:pPr>
        <w:pStyle w:val="Heading3"/>
        <w:keepNext/>
        <w:keepLines/>
      </w:pPr>
      <w:r>
        <w:t>8.1 Cronograma Recomendado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Preparación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por panel de expertos; ajuste instrumento; aprobación ética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Piloto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Aplicación a 15-20 organizaciones; análisis de feedback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Ajuste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Incorporación de mejoras; versión final del instrumento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semana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Difusión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Envío invitaciones; recordatorios; seguimiento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6-8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Procesamiento datos; análisis estadístico y cualitativo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Reporte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Elaboración informes; revisión; publicación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~20 semanas</w:t>
            </w:r>
          </w:p>
        </w:tc>
      </w:tr>
    </w:tbl>
    <w:p/>
    <w:p>
      <w:pPr>
        <w:pStyle w:val="Heading3"/>
        <w:keepNext/>
        <w:keepLines/>
      </w:pPr>
      <w:r>
        <w:t>8.2 Tamaño Muestral Recomendado</w:t>
      </w:r>
    </w:p>
    <w:p>
      <w:r>
        <w:t>Para resultados estadísticamente representativos por Comunidad Autónoma (con error máximo ±5%, nivel de confianza 95%):</w:t>
      </w:r>
    </w:p>
    <w:p>
      <w:pPr>
        <w:pStyle w:val="ListBullet"/>
        <w:keepLines w:val="1"/>
        <w:keepNext w:val="1"/>
        <w:widowControl w:val="1"/>
      </w:pPr>
      <w:r>
        <w:t>Muestra mínima por CC.AA.: 384 organizaciones (para población infinita).</w:t>
      </w:r>
    </w:p>
    <w:p>
      <w:pPr>
        <w:pStyle w:val="ListBullet"/>
        <w:keepLines w:val="1"/>
        <w:keepNext w:val="1"/>
        <w:widowControl w:val="1"/>
      </w:pPr>
      <w:r>
        <w:t>Muestra ajustada para AAPP autonómicas y locales: 200-250 respondentes por CC.AA. (dado el número finito de entidades).</w:t>
      </w:r>
    </w:p>
    <w:p>
      <w:pPr>
        <w:pStyle w:val="ListBullet"/>
        <w:keepLines w:val="1"/>
        <w:keepNext w:val="1"/>
        <w:widowControl w:val="1"/>
      </w:pPr>
      <w:r>
        <w:t>Muestra total objetivo a nivel nacional: 3.500-4.500 respondentes.</w:t>
      </w:r>
    </w:p>
    <w:p>
      <w:pPr>
        <w:pStyle w:val="ListBullet"/>
        <w:keepLines w:val="1"/>
        <w:widowControl w:val="1"/>
      </w:pPr>
      <w:r>
        <w:t>Muestra mínima viable para análisis descriptivo: 150 respondentes (resultados orientativos).</w:t>
      </w:r>
    </w:p>
    <w:p>
      <w:r>
        <w:rPr>
          <w:i/>
        </w:rPr>
        <w:t>Kit de Encuesta FISMA 2025 — Guía Metodológica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