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</w:t>
      </w:r>
    </w:p>
    <w:p>
      <w:pPr>
        <w:pStyle w:val="Heading2"/>
        <w:keepNext/>
        <w:keepLines/>
      </w:pPr>
      <w:r>
        <w:rPr>
          <w:color w:val="0066CC"/>
        </w:rPr>
        <w:t>Estructura y Contenido para Presentación en PowerPoint</w:t>
      </w:r>
    </w:p>
    <w:p>
      <w:pPr>
        <w:pStyle w:val="Heading3"/>
        <w:keepNext/>
        <w:keepLines/>
      </w:pPr>
      <w:r>
        <w:t>Kit de Encuesta FISMA 2025 — Descripción completa diapositiva a diapositiva</w:t>
      </w:r>
    </w:p>
    <w:p>
      <w:r>
        <w:rPr>
          <w:i/>
        </w:rPr>
        <w:t>"Un buen reporte ejecutivo es aquel que hace que quien lo recibe entienda en 20 minutos lo que costó 6 meses descubrir — y, sobre todo, lo que hay que hacer con ello."</w:t>
      </w:r>
    </w:p>
    <w:p>
      <w:pPr>
        <w:pStyle w:val="Heading2"/>
        <w:keepNext/>
        <w:keepLines/>
      </w:pPr>
      <w:r>
        <w:rPr>
          <w:color w:val="0066CC"/>
        </w:rPr>
        <w:t>INFORMACIÓN GENERAL DE LA PRESENTACIÓN</w:t>
      </w:r>
    </w:p>
    <w:p>
      <w:pPr>
        <w:pStyle w:val="ListBullet"/>
        <w:keepLines w:val="1"/>
        <w:keepNext w:val="1"/>
        <w:widowControl w:val="1"/>
      </w:pPr>
      <w:r>
        <w:t>Título: Diagnóstico de Madurez en Ciberseguridad Institucional — Resultados FISMA 2025</w:t>
      </w:r>
    </w:p>
    <w:p>
      <w:pPr>
        <w:pStyle w:val="ListBullet"/>
        <w:keepLines w:val="1"/>
        <w:keepNext w:val="1"/>
        <w:widowControl w:val="1"/>
      </w:pPr>
      <w:r>
        <w:t>Número de diapositivas: 18 diapositivas (versión completa) + 5 opcionales</w:t>
      </w:r>
    </w:p>
    <w:p>
      <w:pPr>
        <w:pStyle w:val="ListBullet"/>
        <w:keepLines w:val="1"/>
        <w:keepNext w:val="1"/>
        <w:widowControl w:val="1"/>
      </w:pPr>
      <w:r>
        <w:t>Duración estimada: 20-25 minutos (versión ejecutiva) / 45-60 minutos (versión técnica)</w:t>
      </w:r>
    </w:p>
    <w:p>
      <w:pPr>
        <w:pStyle w:val="ListBullet"/>
        <w:keepLines w:val="1"/>
        <w:keepNext w:val="1"/>
        <w:widowControl w:val="1"/>
      </w:pPr>
      <w:r>
        <w:t>Audiencia primaria: Junta de Gobierno, Consejo de Dirección, Comité de Seguridad</w:t>
      </w:r>
    </w:p>
    <w:p>
      <w:pPr>
        <w:pStyle w:val="ListBullet"/>
        <w:keepLines w:val="1"/>
        <w:keepNext w:val="1"/>
        <w:widowControl w:val="1"/>
      </w:pPr>
      <w:r>
        <w:t>Audiencia secundaria: CISO, CIO, responsables de área</w:t>
      </w:r>
    </w:p>
    <w:p>
      <w:pPr>
        <w:pStyle w:val="ListBullet"/>
        <w:keepLines w:val="1"/>
        <w:keepNext w:val="1"/>
        <w:widowControl w:val="1"/>
      </w:pPr>
      <w:r>
        <w:t>Software: Microsoft PowerPoint 365 / Google Slides / LibreOffice Impress</w:t>
      </w:r>
    </w:p>
    <w:p>
      <w:pPr>
        <w:pStyle w:val="ListBullet"/>
        <w:keepLines w:val="1"/>
        <w:widowControl w:val="1"/>
      </w:pPr>
      <w:r>
        <w:t>Paleta de colores: Azul corporativo (#003366) | Gris neutro (#6B7280) | Rojo alerta (#DC2626) | Ámbar (#D97706) | Verde efectivo (#16A34A)</w:t>
      </w:r>
    </w:p>
    <w:p>
      <w:pPr>
        <w:pStyle w:val="Heading2"/>
        <w:keepNext/>
        <w:keepLines/>
      </w:pPr>
      <w:r>
        <w:rPr>
          <w:color w:val="0066CC"/>
        </w:rPr>
        <w:t>DIAPOSITIVA 1 — PORTADA</w:t>
      </w:r>
    </w:p>
    <w:p>
      <w:r>
        <w:rPr>
          <w:b/>
        </w:rPr>
        <w:t>Elementos:</w:t>
      </w:r>
      <w:r/>
      <w:r>
        <w:br/>
        <w:t>- Fondo: gradiente diagonal azul oscuro (#003366) a azul medio (#1E4D8C)</w:t>
      </w:r>
      <w:r/>
      <w:r>
        <w:br/>
        <w:t>- Título principal (blanco, 40pt, centrado): "Diagnóstico de Madurez en Ciberseguridad"</w:t>
      </w:r>
      <w:r/>
      <w:r>
        <w:br/>
        <w:t>- Subtítulo (blanco 70% opacidad, 24pt): "Resultados del Estudio FISMA 2025 — [Nombre Organización]"</w:t>
      </w:r>
      <w:r/>
      <w:r>
        <w:br/>
        <w:t>- Fecha (blanco, 18pt): Abril 2026</w:t>
      </w:r>
      <w:r/>
      <w:r>
        <w:br/>
        <w:t>- Logo organizativo (esquina inferior derecha)</w:t>
      </w:r>
      <w:r/>
      <w:r>
        <w:br/>
        <w:t>- Referencia normativa (pie de página, 12pt, blanco 50%): "Basado en FY2025 IG FISMA Metrics v2.0 · NIST CSF 2.0 · ENS RD 311/2022 · Directiva NIS2"</w:t>
      </w:r>
    </w:p>
    <w:p>
      <w:pPr>
        <w:pStyle w:val="Heading2"/>
        <w:keepNext/>
        <w:keepLines/>
      </w:pPr>
      <w:r>
        <w:rPr>
          <w:color w:val="0066CC"/>
        </w:rPr>
        <w:t>DIAPOSITIVA 2 — ÍNDICE EJECUTIVO</w:t>
      </w:r>
    </w:p>
    <w:p>
      <w:r>
        <w:rPr>
          <w:b/>
        </w:rPr>
        <w:t>Título:</w:t>
      </w:r>
      <w:r>
        <w:t xml:space="preserve"> "Estructura de esta Presentación"</w:t>
      </w:r>
    </w:p>
    <w:p>
      <w:r>
        <w:rPr>
          <w:b/>
        </w:rPr>
        <w:t>Contenido (lista con iconos):</w:t>
      </w:r>
      <w:r/>
      <w:r>
        <w:br/>
        <w:t>- 🎯 El contexto: por qué medimos ahora</w:t>
      </w:r>
      <w:r/>
      <w:r>
        <w:br/>
        <w:t>- 📊 El resultado: nuestro Índice Global de Madurez (IGM)</w:t>
      </w:r>
      <w:r/>
      <w:r>
        <w:br/>
        <w:t>- 🗺️ El mapa: fortalezas y brechas por dominio</w:t>
      </w:r>
      <w:r/>
      <w:r>
        <w:br/>
        <w:t>- ⚠️ Las prioridades: top 5 acciones de mejora</w:t>
      </w:r>
      <w:r/>
      <w:r>
        <w:br/>
        <w:t>- 💰 El negocio: lo que cuesta no actuar (ROSI)</w:t>
      </w:r>
      <w:r/>
      <w:r>
        <w:br/>
        <w:t>- 🗓️ El plan: hoja de ruta propuesta</w:t>
      </w:r>
    </w:p>
    <w:p>
      <w:r>
        <w:rPr>
          <w:b/>
        </w:rPr>
        <w:t>Nota al orador:</w:t>
      </w:r>
      <w:r>
        <w:t xml:space="preserve"> "Esta presentación es un diagnóstico, no una autopsia. Estamos aquí para actuar."</w:t>
      </w:r>
    </w:p>
    <w:p>
      <w:pPr>
        <w:pStyle w:val="Heading2"/>
        <w:keepNext/>
        <w:keepLines/>
      </w:pPr>
      <w:r>
        <w:rPr>
          <w:color w:val="0066CC"/>
        </w:rPr>
        <w:t>DIAPOSITIVA 3 — CONTEXTO: EL MOMENTO EN QUE ESTAMOS</w:t>
      </w:r>
    </w:p>
    <w:p>
      <w:r>
        <w:rPr>
          <w:b/>
        </w:rPr>
        <w:t>Título:</w:t>
      </w:r>
      <w:r>
        <w:t xml:space="preserve"> "El Escenario de Amenazas en 2025: Datos que No Admiten Espera"</w:t>
      </w:r>
    </w:p>
    <w:p>
      <w:r>
        <w:rPr>
          <w:b/>
        </w:rPr>
        <w:t>Diseño:</w:t>
      </w:r>
      <w:r>
        <w:t xml:space="preserve"> 3 tarjetas de datos en columnas sobre fondo claro</w:t>
      </w:r>
    </w:p>
    <w:p>
      <w:r>
        <w:rPr>
          <w:b/>
        </w:rPr>
        <w:t>Tarjeta 1 (rojo):</w:t>
      </w:r>
      <w:r/>
      <w:r>
        <w:br/>
        <w:t>- Número grande: "+293%"</w:t>
      </w:r>
      <w:r/>
      <w:r>
        <w:br/>
        <w:t>- Texto: "Incidentes críticos en España (CCN-CERT 2025 vs. 2024)"</w:t>
      </w:r>
    </w:p>
    <w:p>
      <w:r>
        <w:rPr>
          <w:b/>
        </w:rPr>
        <w:t>Tarjeta 2 (ámbar):</w:t>
      </w:r>
      <w:r/>
      <w:r>
        <w:br/>
        <w:t>- Número: "122.223"</w:t>
      </w:r>
      <w:r/>
      <w:r>
        <w:br/>
        <w:t>- Texto: "Incidentes gestionados por INCIBE en 2025 (+26% vs. año anterior)"</w:t>
      </w:r>
    </w:p>
    <w:p>
      <w:r>
        <w:rPr>
          <w:b/>
        </w:rPr>
        <w:t>Tarjeta 3 (azul):</w:t>
      </w:r>
      <w:r/>
      <w:r>
        <w:br/>
        <w:t>- Número: "5.º"</w:t>
      </w:r>
      <w:r/>
      <w:r>
        <w:br/>
        <w:t>- Texto: "Posición de España entre los países europeos más atacados (H1 2025)"</w:t>
      </w:r>
    </w:p>
    <w:p>
      <w:r>
        <w:rPr>
          <w:b/>
        </w:rPr>
        <w:t>Párrafo de cierre (texto, 16pt):</w:t>
      </w:r>
      <w:r/>
      <w:r>
        <w:br/>
        <w:t>"En este contexto, la madurez en ciberseguridad no es una opción de gestión: es una obligación institucional. Esta encuesta mide dónde estamos para que decidamos, con datos, adónde vamos."</w:t>
      </w:r>
    </w:p>
    <w:p>
      <w:r>
        <w:rPr>
          <w:b/>
        </w:rPr>
        <w:t>Fuentes citadas al pie:</w:t>
      </w:r>
      <w:r>
        <w:t xml:space="preserve"> CCN-CERT Informe Ciberamenazas 2025 | INCIBE Balance 2025</w:t>
      </w:r>
    </w:p>
    <w:p>
      <w:pPr>
        <w:pStyle w:val="Heading2"/>
        <w:keepNext/>
        <w:keepLines/>
      </w:pPr>
      <w:r>
        <w:rPr>
          <w:color w:val="0066CC"/>
        </w:rPr>
        <w:t>DIAPOSITIVA 4 — METODOLOGÍA: QUÉ MEDIMOS Y CÓMO</w:t>
      </w:r>
    </w:p>
    <w:p>
      <w:r>
        <w:rPr>
          <w:b/>
        </w:rPr>
        <w:t>Título:</w:t>
      </w:r>
      <w:r>
        <w:t xml:space="preserve"> "Marco Metodológico: Rigor con Propósito"</w:t>
      </w:r>
    </w:p>
    <w:p>
      <w:r>
        <w:rPr>
          <w:b/>
        </w:rPr>
        <w:t>Diseño:</w:t>
      </w:r>
      <w:r>
        <w:t xml:space="preserve"> Diagrama de flujo horizontal en 4 pasos</w:t>
      </w:r>
    </w:p>
    <w:p>
      <w:r>
        <w:rPr>
          <w:b/>
        </w:rPr>
        <w:t>Paso 1 (icono documento):</w:t>
      </w:r>
      <w:r>
        <w:t xml:space="preserve"> "60 preguntas · 14 módulos"</w:t>
      </w:r>
      <w:r/>
      <w:r>
        <w:br/>
      </w:r>
      <w:r>
        <w:rPr>
          <w:b/>
        </w:rPr>
        <w:t>Paso 2 (icono gráfico):</w:t>
      </w:r>
      <w:r>
        <w:t xml:space="preserve"> "5 niveles de madurez FISMA/NIST"</w:t>
      </w:r>
      <w:r/>
      <w:r>
        <w:br/>
      </w:r>
      <w:r>
        <w:rPr>
          <w:b/>
        </w:rPr>
        <w:t>Paso 3 (icono calculadora):</w:t>
      </w:r>
      <w:r>
        <w:t xml:space="preserve"> "IGM ponderado por dominio"</w:t>
      </w:r>
      <w:r/>
      <w:r>
        <w:br/>
      </w:r>
      <w:r>
        <w:rPr>
          <w:b/>
        </w:rPr>
        <w:t>Paso 4 (icono hoja de ruta):</w:t>
      </w:r>
      <w:r>
        <w:t xml:space="preserve"> "Plan de acción priorizado"</w:t>
      </w:r>
    </w:p>
    <w:p>
      <w:r>
        <w:rPr>
          <w:b/>
        </w:rPr>
        <w:t>Tabla pequeña de marcos de referencia:</w:t>
      </w:r>
      <w:r/>
      <w:r>
        <w:br/>
        <w:t>| Marco | Versión |</w:t>
      </w:r>
      <w:r/>
      <w:r>
        <w:br/>
        <w:t>|---|---|</w:t>
      </w:r>
      <w:r/>
      <w:r>
        <w:br/>
        <w:t>| NIST CSF 2.0 | Febrero 2024 |</w:t>
      </w:r>
      <w:r/>
      <w:r>
        <w:br/>
        <w:t>| FISMA IG Metrics | FY2025 v2.0 |</w:t>
      </w:r>
      <w:r/>
      <w:r>
        <w:br/>
        <w:t>| ENS | RD 311/2022 |</w:t>
      </w:r>
      <w:r/>
      <w:r>
        <w:br/>
        <w:t>| NIS2 | Directiva 2022/2555 |</w:t>
      </w:r>
    </w:p>
    <w:p>
      <w:pPr>
        <w:pStyle w:val="Heading2"/>
        <w:keepNext/>
        <w:keepLines/>
      </w:pPr>
      <w:r>
        <w:rPr>
          <w:color w:val="0066CC"/>
        </w:rPr>
        <w:t>DIAPOSITIVA 5 — RESULTADO PRINCIPAL: EL IGM</w:t>
      </w:r>
    </w:p>
    <w:p>
      <w:r>
        <w:rPr>
          <w:b/>
        </w:rPr>
        <w:t>Título:</w:t>
      </w:r>
      <w:r>
        <w:t xml:space="preserve"> "Nuestro Índice Global de Madurez: ¿Dónde Estamos?"</w:t>
      </w:r>
    </w:p>
    <w:p>
      <w:r>
        <w:rPr>
          <w:b/>
        </w:rPr>
        <w:t>Diseño:</w:t>
      </w:r>
      <w:r>
        <w:t xml:space="preserve"> Elemento central dominante</w:t>
      </w:r>
    </w:p>
    <w:p>
      <w:r>
        <w:rPr>
          <w:b/>
        </w:rPr>
        <w:t>Elemento principal (círculo grande, centrado):</w:t>
      </w:r>
      <w:r/>
      <w:r>
        <w:br/>
        <w:t>- Interior: IGM = [VALOR] / 5.0</w:t>
      </w:r>
      <w:r/>
      <w:r>
        <w:br/>
        <w:t>- Color del círculo: según nivel (rojo/ámbar/verde)</w:t>
      </w:r>
      <w:r/>
      <w:r>
        <w:br/>
        <w:t>- Debajo del círculo: "Nivel: [NIVEL]" y "¿Efectivo? [SÍ/NO]"</w:t>
      </w:r>
    </w:p>
    <w:p>
      <w:r>
        <w:rPr>
          <w:b/>
        </w:rPr>
        <w:t>Escala lateral (barra vertical con 5 niveles marcados):</w:t>
      </w:r>
      <w:r/>
      <w:r>
        <w:br/>
        <w:t>- L1: Ad Hoc (rojo) | L2: Defined | L3: Consistently Implemented | L4: Managed ★ (umbral) | L5: Optimized (verde)</w:t>
      </w:r>
      <w:r/>
      <w:r>
        <w:br/>
        <w:t>- Flecha indicando la posición actual de la organización</w:t>
      </w:r>
    </w:p>
    <w:p>
      <w:r>
        <w:rPr>
          <w:b/>
        </w:rPr>
        <w:t>Texto interpretativo (recuadro inferior):</w:t>
      </w:r>
      <w:r/>
      <w:r>
        <w:br/>
        <w:t>"El umbral de efectividad según los estándares FISMA / NIST es el Nivel 4 (IGM ≥ 3.5). [Nombre Organización] se encuentra actualmente [por encima / por debajo] de ese umbral, con una brecha de [VALOR] puntos."</w:t>
      </w:r>
    </w:p>
    <w:p>
      <w:pPr>
        <w:pStyle w:val="Heading2"/>
        <w:keepNext/>
        <w:keepLines/>
      </w:pPr>
      <w:r>
        <w:rPr>
          <w:color w:val="0066CC"/>
        </w:rPr>
        <w:t>DIAPOSITIVA 6 — GRÁFICO RADAR: PERFIL POR DOMINIO</w:t>
      </w:r>
    </w:p>
    <w:p>
      <w:r>
        <w:rPr>
          <w:b/>
        </w:rPr>
        <w:t>Título:</w:t>
      </w:r>
      <w:r>
        <w:t xml:space="preserve"> "Perfil de Madurez por Dominio: Fortalezas y Brechas"</w:t>
      </w:r>
    </w:p>
    <w:p>
      <w:r>
        <w:rPr>
          <w:b/>
        </w:rPr>
        <w:t>Elemento principal:</w:t>
      </w:r>
      <w:r>
        <w:t xml:space="preserve"> Gráfico radar (telaraña) de 10 ejes</w:t>
      </w:r>
    </w:p>
    <w:p>
      <w:r>
        <w:rPr>
          <w:b/>
        </w:rPr>
        <w:t>Datos:</w:t>
      </w:r>
      <w:r/>
      <w:r>
        <w:br/>
        <w:t>- Serie 1 (azul sólido): Puntuaciones actuales de la organización por módulo</w:t>
      </w:r>
      <w:r/>
      <w:r>
        <w:br/>
        <w:t>- Serie 2 (rojo punteado): Umbral efectividad FISMA = 3.5</w:t>
      </w:r>
      <w:r/>
      <w:r>
        <w:br/>
        <w:t>- Serie 3 (verde punteado): Nivel Optimized = 5.0</w:t>
      </w:r>
    </w:p>
    <w:p>
      <w:r>
        <w:rPr>
          <w:b/>
        </w:rPr>
        <w:t>Etiquetas de los 10 ejes (abreviadas):</w:t>
      </w:r>
      <w:r/>
      <w:r>
        <w:br/>
        <w:t>1. Gobernanza | 2. C-SCRM | 3. Activos/Riesgos | 4. Configuración | 5. IDAM/ZT</w:t>
      </w:r>
      <w:r/>
      <w:r>
        <w:br/>
        <w:t>6. Datos/Privacidad | 7. Formación | 8. Monitorización | 9. Incidentes | 10. Continuidad</w:t>
      </w:r>
    </w:p>
    <w:p>
      <w:r>
        <w:rPr>
          <w:b/>
        </w:rPr>
        <w:t>Leyenda:</w:t>
      </w:r>
      <w:r>
        <w:t xml:space="preserve"> "● Situación actual  ··· Umbral efectividad (L4)  ··· Objetivo Optimized (L5)"</w:t>
      </w:r>
    </w:p>
    <w:p>
      <w:r>
        <w:rPr>
          <w:b/>
        </w:rPr>
        <w:t>Texto de apoyo:</w:t>
      </w:r>
      <w:r>
        <w:t xml:space="preserve"> "Los dominios [X] e [Y] presentan las mayores brechas respecto al umbral de efectividad FISMA. Son los candidatos prioritarios a la inversión."</w:t>
      </w:r>
    </w:p>
    <w:p>
      <w:pPr>
        <w:pStyle w:val="Heading2"/>
        <w:keepNext/>
        <w:keepLines/>
      </w:pPr>
      <w:r>
        <w:rPr>
          <w:color w:val="0066CC"/>
        </w:rPr>
        <w:t>DIAPOSITIVA 7 — TABLA DE RESULTADOS POR MÓDULO</w:t>
      </w:r>
    </w:p>
    <w:p>
      <w:r>
        <w:rPr>
          <w:b/>
        </w:rPr>
        <w:t>Título:</w:t>
      </w:r>
      <w:r>
        <w:t xml:space="preserve"> "Resultados Detallados: Los 10 Dominios FISMA FY2025"</w:t>
      </w:r>
    </w:p>
    <w:p>
      <w:r>
        <w:rPr>
          <w:b/>
        </w:rPr>
        <w:t>Tabla (con formato condicional de color en columna "Nivel"):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CSF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Efectivo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 L4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I.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II. C-SCRM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III. Activos/Riesgos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IV. Configuración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V. IDAM / ZTA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VI. Datos/Privacidad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VII. 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VIII.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IX.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X.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[X.X]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IGM GLOBAL</w:t>
            </w:r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>
              <w:t>[X.X]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[Nivel]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✓/✗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[X.X]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8 — COMPARATIVA CON BENCHMARKS</w:t>
      </w:r>
    </w:p>
    <w:p>
      <w:r>
        <w:rPr>
          <w:b/>
        </w:rPr>
        <w:t>Título:</w:t>
      </w:r>
      <w:r>
        <w:t xml:space="preserve"> "¿Cómo Estamos Respecto a Nuestros Pares?"</w:t>
      </w:r>
    </w:p>
    <w:p>
      <w:r>
        <w:rPr>
          <w:b/>
        </w:rPr>
        <w:t>Diseño:</w:t>
      </w:r>
      <w:r>
        <w:t xml:space="preserve"> Gráfico de barras horizontales con benchmarks</w:t>
      </w:r>
    </w:p>
    <w:p>
      <w:r>
        <w:rPr>
          <w:b/>
        </w:rPr>
        <w:t>Barras (de mayor a menor IGM esperado):</w:t>
      </w:r>
      <w:r/>
      <w:r>
        <w:br/>
        <w:t>- FISMA Federal EE.UU. (media FY2025): 3.7</w:t>
      </w:r>
      <w:r/>
      <w:r>
        <w:br/>
        <w:t>- ENISA Top Quartile EU: 3.6</w:t>
      </w:r>
      <w:r/>
      <w:r>
        <w:br/>
        <w:t>- Infraestructura Crítica España: 3.4</w:t>
      </w:r>
      <w:r/>
      <w:r>
        <w:br/>
        <w:t>- AAPP Autonómica media: 2.8</w:t>
      </w:r>
      <w:r/>
      <w:r>
        <w:br/>
        <w:t xml:space="preserve">- </w:t>
      </w:r>
      <w:r>
        <w:rPr>
          <w:b/>
        </w:rPr>
        <w:t>[NOMBRE ORGANIZACIÓN] ← [VALOR IGM]</w:t>
      </w:r>
      <w:r>
        <w:t xml:space="preserve"> (barra destacada en azul corporativo)</w:t>
      </w:r>
      <w:r/>
      <w:r>
        <w:br/>
        <w:t>- Sanidad pública media: 2.6</w:t>
      </w:r>
      <w:r/>
      <w:r>
        <w:br/>
        <w:t>- AAPP Local media: 2.2</w:t>
      </w:r>
    </w:p>
    <w:p>
      <w:r>
        <w:rPr>
          <w:b/>
        </w:rPr>
        <w:t>Línea vertical roja:</w:t>
      </w:r>
      <w:r>
        <w:t xml:space="preserve"> Umbral efectividad L4 = 3.5</w:t>
      </w:r>
    </w:p>
    <w:p>
      <w:pPr>
        <w:pStyle w:val="Heading2"/>
        <w:keepNext/>
        <w:keepLines/>
      </w:pPr>
      <w:r>
        <w:rPr>
          <w:color w:val="0066CC"/>
        </w:rPr>
        <w:t>DIAPOSITIVA 9 — TOP 5 HALLAZGOS CRÍTICOS</w:t>
      </w:r>
    </w:p>
    <w:p>
      <w:r>
        <w:rPr>
          <w:b/>
        </w:rPr>
        <w:t>Título:</w:t>
      </w:r>
      <w:r>
        <w:t xml:space="preserve"> "Los Cinco Hallazgos Más Importantes"</w:t>
      </w:r>
    </w:p>
    <w:p>
      <w:r>
        <w:rPr>
          <w:b/>
        </w:rPr>
        <w:t>Diseño:</w:t>
      </w:r>
      <w:r>
        <w:t xml:space="preserve"> 5 tarjetas numeradas en disposición 3+2 o lista vertical</w:t>
      </w:r>
    </w:p>
    <w:p>
      <w:r>
        <w:t>Para cada hallazgo: número (grande, círculo de color), título del hallazgo (negrita), descripción breve (2 líneas), referencia normativa afectada (texto pequeño gris).</w:t>
      </w:r>
    </w:p>
    <w:p>
      <w:r>
        <w:rPr>
          <w:i/>
        </w:rPr>
        <w:t>Ejemplos de hallazgos tipo:</w:t>
      </w:r>
    </w:p>
    <w:p>
      <w:r>
        <w:rPr>
          <w:b/>
        </w:rPr>
        <w:t>Hallazgo 1 (rojo):</w:t>
      </w:r>
      <w:r>
        <w:t xml:space="preserve"> Gobernanza sin métricas ejecutivas</w:t>
      </w:r>
      <w:r/>
      <w:r>
        <w:br/>
        <w:t>→ La dirección no recibe KPIs formales de ciberseguridad / Ref: Art. 13 ENS | Gov-2 FISMA</w:t>
      </w:r>
    </w:p>
    <w:p>
      <w:r>
        <w:rPr>
          <w:b/>
        </w:rPr>
        <w:t>Hallazgo 2 (rojo):</w:t>
      </w:r>
      <w:r>
        <w:t xml:space="preserve"> C-SCRM: proveedores sin evaluación</w:t>
      </w:r>
      <w:r/>
      <w:r>
        <w:br/>
        <w:t>→ El 60%+ de contratos TIC carecen de cláusulas de seguridad / Ref: Art. 19 ENS | Art. 21.2.d NIS2</w:t>
      </w:r>
    </w:p>
    <w:p>
      <w:r>
        <w:rPr>
          <w:b/>
        </w:rPr>
        <w:t>Hallazgo 3 (ámbar):</w:t>
      </w:r>
      <w:r>
        <w:t xml:space="preserve"> MFA incompleto</w:t>
      </w:r>
      <w:r/>
      <w:r>
        <w:br/>
        <w:t>→ MFA no implementado en todos los sistemas; usuarios estándar sin protección adicional / Ref: Art. 21.2.j NIS2</w:t>
      </w:r>
    </w:p>
    <w:p>
      <w:r>
        <w:rPr>
          <w:b/>
        </w:rPr>
        <w:t>Hallazgo 4 (ámbar):</w:t>
      </w:r>
      <w:r>
        <w:t xml:space="preserve"> Logging insuficiente</w:t>
      </w:r>
      <w:r/>
      <w:r>
        <w:br/>
        <w:t>→ Cobertura de registros inferior al 50%; sin retención conforme a M-21-31 / Ref: ISCM-3 FISMA</w:t>
      </w:r>
    </w:p>
    <w:p>
      <w:r>
        <w:rPr>
          <w:b/>
        </w:rPr>
        <w:t>Hallazgo 5 (ámbar):</w:t>
      </w:r>
      <w:r>
        <w:t xml:space="preserve"> BCP no probado</w:t>
      </w:r>
      <w:r/>
      <w:r>
        <w:br/>
        <w:t>→ Plan de continuidad existente pero sin prueba en más de 2 años / Ref: Art. 26 ENS | CP-2 FISMA</w:t>
      </w:r>
    </w:p>
    <w:p>
      <w:pPr>
        <w:pStyle w:val="Heading2"/>
        <w:keepNext/>
        <w:keepLines/>
      </w:pPr>
      <w:r>
        <w:rPr>
          <w:color w:val="0066CC"/>
        </w:rPr>
        <w:t>DIAPOSITIVA 10 — ANÁLISIS DE RIESGO: LO QUE CUESTA NO ACTUAR</w:t>
      </w:r>
    </w:p>
    <w:p>
      <w:r>
        <w:rPr>
          <w:b/>
        </w:rPr>
        <w:t>Título:</w:t>
      </w:r>
      <w:r>
        <w:t xml:space="preserve"> "El Coste de la Inacción: Una Perspectiva Actuarial"</w:t>
      </w:r>
    </w:p>
    <w:p>
      <w:r>
        <w:rPr>
          <w:b/>
        </w:rPr>
        <w:t>Diseño:</w:t>
      </w:r>
      <w:r>
        <w:t xml:space="preserve"> Comparativa en dos columnas</w:t>
      </w:r>
    </w:p>
    <w:p>
      <w:r>
        <w:rPr>
          <w:b/>
        </w:rPr>
        <w:t>Columna izquierda (rojo) "Sin mejoras":</w:t>
      </w:r>
      <w:r/>
      <w:r>
        <w:br/>
        <w:t>- ALE anual estimado: [VALOR €]</w:t>
      </w:r>
      <w:r/>
      <w:r>
        <w:br/>
        <w:t>- Probabilidad incidente mayor en 3 años: [%]</w:t>
      </w:r>
      <w:r/>
      <w:r>
        <w:br/>
        <w:t>- Coste potencial worst case: [VALOR €]</w:t>
      </w:r>
    </w:p>
    <w:p>
      <w:r>
        <w:rPr>
          <w:b/>
        </w:rPr>
        <w:t>Columna derecha (verde) "Con plan de mejora":</w:t>
      </w:r>
      <w:r/>
      <w:r>
        <w:br/>
        <w:t>- ALE reducido: [VALOR €]</w:t>
      </w:r>
      <w:r/>
      <w:r>
        <w:br/>
        <w:t>- Inversión total estimada: [VALOR €]</w:t>
      </w:r>
      <w:r/>
      <w:r>
        <w:br/>
        <w:t>- ROSI: [%] | Payback: [X] meses</w:t>
      </w:r>
    </w:p>
    <w:p>
      <w:r>
        <w:rPr>
          <w:b/>
        </w:rPr>
        <w:t>Texto de cierre:</w:t>
      </w:r>
      <w:r/>
      <w:r>
        <w:br/>
        <w:t>"La pregunta no es si podemos permitirnos invertir en ciberseguridad. La pregunta es si podemos permitirnos no hacerlo."</w:t>
      </w:r>
    </w:p>
    <w:p>
      <w:pPr>
        <w:pStyle w:val="Heading2"/>
        <w:keepNext/>
        <w:keepLines/>
      </w:pPr>
      <w:r>
        <w:rPr>
          <w:color w:val="0066CC"/>
        </w:rPr>
        <w:t>DIAPOSITIVA 11 — HOJA DE RUTA: TOP 3 ACCIONES PRIORITARIAS</w:t>
      </w:r>
    </w:p>
    <w:p>
      <w:r>
        <w:rPr>
          <w:b/>
        </w:rPr>
        <w:t>Título:</w:t>
      </w:r>
      <w:r>
        <w:t xml:space="preserve"> "Las Tres Acciones con Mayor Impacto en Madurez"</w:t>
      </w:r>
    </w:p>
    <w:p>
      <w:r>
        <w:rPr>
          <w:b/>
        </w:rPr>
        <w:t>Diseño:</w:t>
      </w:r>
      <w:r>
        <w:t xml:space="preserve"> 3 tarjetas en columnas (una por acción) con semáforo de urgencia</w:t>
      </w:r>
    </w:p>
    <w:p>
      <w:r>
        <w:rPr>
          <w:b/>
        </w:rPr>
        <w:t>Para cada acción:</w:t>
      </w:r>
      <w:r/>
      <w:r>
        <w:br/>
        <w:t>- Número y título de la acción</w:t>
      </w:r>
      <w:r/>
      <w:r>
        <w:br/>
        <w:t>- Dominio FISMA afectado</w:t>
      </w:r>
      <w:r/>
      <w:r>
        <w:br/>
        <w:t>- Nivel actual → Nivel objetivo</w:t>
      </w:r>
      <w:r/>
      <w:r>
        <w:br/>
        <w:t>- Plazo estimado: [X meses]</w:t>
      </w:r>
      <w:r/>
      <w:r>
        <w:br/>
        <w:t>- Coste estimado: [X €]</w:t>
      </w:r>
      <w:r/>
      <w:r>
        <w:br/>
        <w:t>- Impacto en IGM: +[X] puntos</w:t>
      </w:r>
      <w:r/>
      <w:r>
        <w:br/>
        <w:t>- Responsable propuesto: [Rol]</w:t>
      </w:r>
      <w:r/>
      <w:r>
        <w:br/>
        <w:t>- Referencia normativa</w:t>
      </w:r>
    </w:p>
    <w:p>
      <w:pPr>
        <w:pStyle w:val="Heading2"/>
        <w:keepNext/>
        <w:keepLines/>
      </w:pPr>
      <w:r>
        <w:rPr>
          <w:color w:val="0066CC"/>
        </w:rPr>
        <w:t>DIAPOSITIVA 12 — HOJA DE RUTA: VISIÓN A 18 MESES</w:t>
      </w:r>
    </w:p>
    <w:p>
      <w:r>
        <w:rPr>
          <w:b/>
        </w:rPr>
        <w:t>Título:</w:t>
      </w:r>
      <w:r>
        <w:t xml:space="preserve"> "Hoja de Ruta 2026-2027: Del Diagnóstico a la Excelencia"</w:t>
      </w:r>
    </w:p>
    <w:p>
      <w:r>
        <w:rPr>
          <w:b/>
        </w:rPr>
        <w:t>Diseño:</w:t>
      </w:r>
      <w:r>
        <w:t xml:space="preserve"> Diagrama de Gantt simplificado en 3 horizontes temporales</w:t>
      </w:r>
    </w:p>
    <w:p>
      <w:r>
        <w:rPr>
          <w:b/>
        </w:rPr>
        <w:t>Horizonte 1 (Meses 1-3) — "Quick Wins":</w:t>
      </w:r>
      <w:r/>
      <w:r>
        <w:br/>
        <w:t>- Acción [X]: Implementar MFA universal</w:t>
      </w:r>
      <w:r/>
      <w:r>
        <w:br/>
        <w:t>- Acción [Y]: Inventario de proveedores y cláusulas contractuales</w:t>
      </w:r>
      <w:r/>
      <w:r>
        <w:br/>
        <w:t>- Acción [Z]: Dashboard de KPIs de seguridad para la dirección</w:t>
      </w:r>
    </w:p>
    <w:p>
      <w:r>
        <w:rPr>
          <w:b/>
        </w:rPr>
        <w:t>Horizonte 2 (Meses 4-9) — "Fundamentos":</w:t>
      </w:r>
      <w:r/>
      <w:r>
        <w:br/>
        <w:t>- Programa CDM/monitorización continua</w:t>
      </w:r>
      <w:r/>
      <w:r>
        <w:br/>
        <w:t>- Revisión y prueba del Plan de Continuidad</w:t>
      </w:r>
      <w:r/>
      <w:r>
        <w:br/>
        <w:t>- Programa de formación por roles</w:t>
      </w:r>
    </w:p>
    <w:p>
      <w:r>
        <w:rPr>
          <w:b/>
        </w:rPr>
        <w:t>Horizonte 3 (Meses 10-18) — "Madurez Sostenida":</w:t>
      </w:r>
      <w:r/>
      <w:r>
        <w:br/>
        <w:t>- Implementación Zero Trust (fases 1-2)</w:t>
      </w:r>
      <w:r/>
      <w:r>
        <w:br/>
        <w:t>- Certificación ENS completa</w:t>
      </w:r>
      <w:r/>
      <w:r>
        <w:br/>
        <w:t>- IGM objetivo: ≥ 3.5 (Nivel 4 — Efectivo)</w:t>
      </w:r>
    </w:p>
    <w:p>
      <w:pPr>
        <w:pStyle w:val="Heading2"/>
        <w:keepNext/>
        <w:keepLines/>
      </w:pPr>
      <w:r>
        <w:rPr>
          <w:color w:val="0066CC"/>
        </w:rPr>
        <w:t>DIAPOSITIVA 13 — MARCO NORMATIVO: OBLIGACIONES VIGENTES</w:t>
      </w:r>
    </w:p>
    <w:p>
      <w:r>
        <w:rPr>
          <w:b/>
        </w:rPr>
        <w:t>Título:</w:t>
      </w:r>
      <w:r>
        <w:t xml:space="preserve"> "El Entorno Regulatorio: Lo Que la Norma Ya Exige"</w:t>
      </w:r>
    </w:p>
    <w:p>
      <w:r>
        <w:rPr>
          <w:b/>
        </w:rPr>
        <w:t>Tabla de tres marcos: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Obligación inmediata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de incumplimiento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Vigente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Categorización y adecuación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Inhabilitación de sistemas; responsabilidad directiva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Transposición en curso (España 2025)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Gobernanza, IR 24/72h, cadena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Hasta 10M€ o 2% facturación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LOPDGDD / RGPD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Vigente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Seguridad del tratamiento, notificación breaches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Hasta 20M€ o 4% facturación global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DIAPOSITIVA 14 — COMPARATIVA FISMA/ENS/NIS2</w:t>
      </w:r>
    </w:p>
    <w:p>
      <w:r>
        <w:rPr>
          <w:b/>
        </w:rPr>
        <w:t>Título:</w:t>
      </w:r>
      <w:r>
        <w:t xml:space="preserve"> "Convergencia de Marcos: Lo Que FISMA, ENS y NIS2 Comparten"</w:t>
      </w:r>
    </w:p>
    <w:p>
      <w:r>
        <w:rPr>
          <w:b/>
        </w:rPr>
        <w:t>Diagrama de Venn de tres círculos:</w:t>
      </w:r>
    </w:p>
    <w:p>
      <w:r>
        <w:rPr>
          <w:i/>
        </w:rPr>
        <w:t>Zona central (los tres marcos):</w:t>
      </w:r>
      <w:r/>
      <w:r>
        <w:br/>
        <w:t>- Gestión basada en riesgos</w:t>
      </w:r>
      <w:r/>
      <w:r>
        <w:br/>
        <w:t>- Monitorización continua</w:t>
      </w:r>
      <w:r/>
      <w:r>
        <w:br/>
        <w:t>- Notificación de incidentes</w:t>
      </w:r>
      <w:r/>
      <w:r>
        <w:br/>
        <w:t>- Gobernanza de alto nivel</w:t>
      </w:r>
    </w:p>
    <w:p>
      <w:r>
        <w:rPr>
          <w:i/>
        </w:rPr>
        <w:t>FISMA + ENS (sin NIS2):</w:t>
      </w:r>
      <w:r/>
      <w:r>
        <w:br/>
        <w:t>- Métricas formales de madurez</w:t>
      </w:r>
      <w:r/>
      <w:r>
        <w:br/>
        <w:t>- Auditoría independiente obligatoria</w:t>
      </w:r>
    </w:p>
    <w:p>
      <w:r>
        <w:rPr>
          <w:i/>
        </w:rPr>
        <w:t>NIS2 + ENS (sin FISMA):</w:t>
      </w:r>
      <w:r/>
      <w:r>
        <w:br/>
        <w:t>- Sanciones económicas directas</w:t>
      </w:r>
      <w:r/>
      <w:r>
        <w:br/>
        <w:t>- Clasificación entidades esenciales/importantes</w:t>
      </w:r>
    </w:p>
    <w:p>
      <w:r>
        <w:rPr>
          <w:i/>
        </w:rPr>
        <w:t>FISMA (exclusivo):</w:t>
      </w:r>
      <w:r/>
      <w:r>
        <w:br/>
        <w:t>- Zero Trust como métrica formal</w:t>
      </w:r>
      <w:r/>
      <w:r>
        <w:br/>
        <w:t>- CDM automatizado (90% cobertura)</w:t>
      </w:r>
      <w:r/>
      <w:r>
        <w:br/>
        <w:t>- 5 niveles de madurez con puntuación ponderada</w:t>
      </w:r>
    </w:p>
    <w:p>
      <w:pPr>
        <w:pStyle w:val="Heading2"/>
        <w:keepNext/>
        <w:keepLines/>
      </w:pPr>
      <w:r>
        <w:rPr>
          <w:color w:val="0066CC"/>
        </w:rPr>
        <w:t>DIAPOSITIVA 15 — HORIZONTE 2027: AMENAZAS EMERGENTES</w:t>
      </w:r>
    </w:p>
    <w:p>
      <w:r>
        <w:rPr>
          <w:b/>
        </w:rPr>
        <w:t>Título:</w:t>
      </w:r>
      <w:r>
        <w:t xml:space="preserve"> "Las Amenazas del Futuro (Que Ya Son del Presente)"</w:t>
      </w:r>
    </w:p>
    <w:p>
      <w:r>
        <w:rPr>
          <w:b/>
        </w:rPr>
        <w:t>Tres tarjetas:</w:t>
      </w:r>
    </w:p>
    <w:p>
      <w:r>
        <w:rPr>
          <w:b/>
        </w:rPr>
        <w:t>Tarjeta 1 — IA Adversarial:</w:t>
      </w:r>
      <w:r/>
      <w:r>
        <w:br/>
        <w:t>- Phishing generativo, deepfakes, evasión de EDR</w:t>
      </w:r>
      <w:r/>
      <w:r>
        <w:br/>
        <w:t>- Estado de preparación [NOMBRE ORG]: [NIVEL]</w:t>
      </w:r>
      <w:r/>
      <w:r>
        <w:br/>
        <w:t>- Acción recomendada: actualizar controles SIEM/EDR para detección de ataques IA</w:t>
      </w:r>
    </w:p>
    <w:p>
      <w:r>
        <w:rPr>
          <w:b/>
        </w:rPr>
        <w:t>Tarjeta 2 — Criptografía Post-Cuántica (PQC):</w:t>
      </w:r>
      <w:r/>
      <w:r>
        <w:br/>
        <w:t>- NIST finalizó estándares FIPS 203/204/205 (agosto 2024)</w:t>
      </w:r>
      <w:r/>
      <w:r>
        <w:br/>
        <w:t>- Migración necesaria antes de 2030 para sistemas de alta seguridad</w:t>
      </w:r>
      <w:r/>
      <w:r>
        <w:br/>
        <w:t>- Acción recomendada: inventario de sistemas criptográficos vulnerables (H1 2026)</w:t>
      </w:r>
    </w:p>
    <w:p>
      <w:r>
        <w:rPr>
          <w:b/>
        </w:rPr>
        <w:t>Tarjeta 3 — Regulación en aceleración:</w:t>
      </w:r>
      <w:r/>
      <w:r>
        <w:br/>
        <w:t>- DORA (vigente enero 2025), NIS2 en transposición, CRA en aprobación</w:t>
      </w:r>
      <w:r/>
      <w:r>
        <w:br/>
        <w:t>- Cada 18 meses aparece un nuevo marco normativo relevante</w:t>
      </w:r>
      <w:r/>
      <w:r>
        <w:br/>
        <w:t>- Acción recomendada: función de compliance como proceso permanente, no puntual</w:t>
      </w:r>
    </w:p>
    <w:p>
      <w:pPr>
        <w:pStyle w:val="Heading2"/>
        <w:keepNext/>
        <w:keepLines/>
      </w:pPr>
      <w:r>
        <w:rPr>
          <w:color w:val="0066CC"/>
        </w:rPr>
        <w:t>DIAPOSITIVA 16 — PRÓXIMOS PASOS Y PROPUESTA DE DECISIÓN</w:t>
      </w:r>
    </w:p>
    <w:p>
      <w:r>
        <w:rPr>
          <w:b/>
        </w:rPr>
        <w:t>Título:</w:t>
      </w:r>
      <w:r>
        <w:t xml:space="preserve"> "Próximos Pasos: Tres Decisiones para Hoy"</w:t>
      </w:r>
    </w:p>
    <w:p>
      <w:r>
        <w:rPr>
          <w:b/>
        </w:rPr>
        <w:t>Diseño:</w:t>
      </w:r>
      <w:r>
        <w:t xml:space="preserve"> 3 elementos de decisión en formato de tarjeta de acción</w:t>
      </w:r>
    </w:p>
    <w:p>
      <w:r>
        <w:rPr>
          <w:b/>
        </w:rPr>
        <w:t>Decisión 1:</w:t>
      </w:r>
      <w:r>
        <w:t xml:space="preserve"> ¿Aprobamos el presupuesto para las acciones prioritarias?</w:t>
      </w:r>
      <w:r/>
      <w:r>
        <w:br/>
        <w:t>- Inversión requerida: [VALOR €]</w:t>
      </w:r>
      <w:r/>
      <w:r>
        <w:br/>
        <w:t>- Plazo de decisión: [FECHA]</w:t>
      </w:r>
      <w:r/>
      <w:r>
        <w:br/>
        <w:t>- Responsable de propuesta: CISO / CIO</w:t>
      </w:r>
    </w:p>
    <w:p>
      <w:r>
        <w:rPr>
          <w:b/>
        </w:rPr>
        <w:t>Decisión 2:</w:t>
      </w:r>
      <w:r>
        <w:t xml:space="preserve"> ¿Establecemos el Comité de Ciberseguridad de nivel directivo?</w:t>
      </w:r>
      <w:r/>
      <w:r>
        <w:br/>
        <w:t>- Frecuencia: Trimestral</w:t>
      </w:r>
      <w:r/>
      <w:r>
        <w:br/>
        <w:t>- Composición: DG, CISO, CIO, DPO, Responsable Legal</w:t>
      </w:r>
      <w:r/>
      <w:r>
        <w:br/>
        <w:t>- Primera reunión propuesta: [FECHA]</w:t>
      </w:r>
    </w:p>
    <w:p>
      <w:r>
        <w:rPr>
          <w:b/>
        </w:rPr>
        <w:t>Decisión 3:</w:t>
      </w:r>
      <w:r>
        <w:t xml:space="preserve"> ¿Fijamos el IGM = 3.5 como KPI institucional de ciberseguridad para 2027?</w:t>
      </w:r>
      <w:r/>
      <w:r>
        <w:br/>
        <w:t>- Revisión semestral del IGM con esta metodología</w:t>
      </w:r>
      <w:r/>
      <w:r>
        <w:br/>
        <w:t>- Informe anual al órgano de gobierno</w:t>
      </w:r>
    </w:p>
    <w:p>
      <w:pPr>
        <w:pStyle w:val="Heading2"/>
        <w:keepNext/>
        <w:keepLines/>
      </w:pPr>
      <w:r>
        <w:rPr>
          <w:color w:val="0066CC"/>
        </w:rPr>
        <w:t>DIAPOSITIVA 17 — METODOLOGÍA Y FUENTES</w:t>
      </w:r>
    </w:p>
    <w:p>
      <w:r>
        <w:rPr>
          <w:b/>
        </w:rPr>
        <w:t>Título:</w:t>
      </w:r>
      <w:r>
        <w:t xml:space="preserve"> "Notas Metodológicas y Fuentes Primarias"</w:t>
      </w:r>
    </w:p>
    <w:p>
      <w:r>
        <w:rPr>
          <w:b/>
        </w:rPr>
        <w:t>Lista de fuentes:</w:t>
      </w:r>
      <w:r/>
      <w:r>
        <w:br/>
        <w:t>- OMB Memorándum M-25-04 (enero 2025) — Guía FY2025 FISMA</w:t>
      </w:r>
      <w:r/>
      <w:r>
        <w:br/>
        <w:t>- FY2025 IG FISMA Reporting Metrics v2.0 (3 abril 2025) — CIGIE/OMB/CISA</w:t>
      </w:r>
      <w:r/>
      <w:r>
        <w:br/>
        <w:t>- NIST Cybersecurity Framework 2.0 (febrero 2024) — NIST</w:t>
      </w:r>
      <w:r/>
      <w:r>
        <w:br/>
        <w:t>- NIST SP 800-53 Rev. 5 — Security and Privacy Controls</w:t>
      </w:r>
      <w:r/>
      <w:r>
        <w:br/>
        <w:t>- Real Decreto 311/2022 — Esquema Nacional de Seguridad</w:t>
      </w:r>
      <w:r/>
      <w:r>
        <w:br/>
        <w:t>- Directiva UE 2022/2555 (NIS2)</w:t>
      </w:r>
      <w:r/>
      <w:r>
        <w:br/>
        <w:t>- Anteproyecto Ley Coordinación y Gobernanza de la Ciberseguridad (enero 2025) — DSN España</w:t>
      </w:r>
      <w:r/>
      <w:r>
        <w:br/>
        <w:t>- ENISA NIS Investments 2025 (diciembre 2025)</w:t>
      </w:r>
      <w:r/>
      <w:r>
        <w:br/>
        <w:t>- CCN-CERT Informe de Ciberamenazas y Tendencias 2025</w:t>
      </w:r>
      <w:r/>
      <w:r>
        <w:br/>
        <w:t>- INCIBE Balance de Ciberseguridad 2025 (febrero 2026)</w:t>
      </w:r>
    </w:p>
    <w:p>
      <w:r>
        <w:rPr>
          <w:b/>
        </w:rPr>
        <w:t>Advertencia:</w:t>
      </w:r>
      <w:r>
        <w:t xml:space="preserve"> "Los resultados del diagnóstico son orientativos y se basan en autoevaluación. Para evaluación formal con validez certificatoria, se requiere auditoría independiente por entidad acreditada."</w:t>
      </w:r>
    </w:p>
    <w:p>
      <w:pPr>
        <w:pStyle w:val="Heading2"/>
        <w:keepNext/>
        <w:keepLines/>
      </w:pPr>
      <w:r>
        <w:rPr>
          <w:color w:val="0066CC"/>
        </w:rPr>
        <w:t>DIAPOSITIVA 18 — CIERRE</w:t>
      </w:r>
    </w:p>
    <w:p>
      <w:r>
        <w:rPr>
          <w:b/>
        </w:rPr>
        <w:t>Diseño:</w:t>
      </w:r>
      <w:r>
        <w:t xml:space="preserve"> Fondo oscuro (igual a portada)</w:t>
      </w:r>
    </w:p>
    <w:p>
      <w:r>
        <w:rPr>
          <w:b/>
        </w:rPr>
        <w:t>Cita central (texto grande, blanco):</w:t>
      </w:r>
      <w:r/>
      <w:r>
        <w:br/>
      </w:r>
      <w:r>
        <w:rPr>
          <w:i/>
        </w:rPr>
        <w:t>"La ciberseguridad sin métricas no es seguridad: es esperanza. Y la esperanza, como activo de gestión del riesgo, tiene una valoración actuarial particularmente baja."</w:t>
      </w:r>
    </w:p>
    <w:p>
      <w:r>
        <w:rPr>
          <w:b/>
        </w:rPr>
        <w:t>Debajo:</w:t>
      </w:r>
      <w:r/>
      <w:r>
        <w:br/>
        <w:t>- [Nombre del respondente / CISO]</w:t>
      </w:r>
      <w:r/>
      <w:r>
        <w:br/>
        <w:t>- [Datos de contacto]</w:t>
      </w:r>
      <w:r/>
      <w:r>
        <w:br/>
        <w:t>- [Fecha]</w:t>
      </w:r>
    </w:p>
    <w:p>
      <w:r>
        <w:rPr>
          <w:b/>
        </w:rPr>
        <w:t>Elementos finales:</w:t>
      </w:r>
      <w:r/>
      <w:r>
        <w:br/>
        <w:t>- Logo organizativo</w:t>
      </w:r>
      <w:r/>
      <w:r>
        <w:br/>
        <w:t>- Referencia al kit completo de documentación: "Kit FISMA 2025 disponible en [repositorio interno]"</w:t>
      </w:r>
    </w:p>
    <w:p>
      <w:pPr>
        <w:pStyle w:val="Heading2"/>
        <w:keepNext/>
        <w:keepLines/>
      </w:pPr>
      <w:r>
        <w:rPr>
          <w:color w:val="0066CC"/>
        </w:rPr>
        <w:t>DIAPOSITIVAS OPCIONALES (para versión técnica extendida)</w:t>
      </w:r>
    </w:p>
    <w:p>
      <w:pPr>
        <w:pStyle w:val="Heading3"/>
        <w:keepNext/>
        <w:keepLines/>
      </w:pPr>
      <w:r>
        <w:t>DIAPOSITIVA 19 (OPT) — Detalle de Hallazgos por Pregunta</w:t>
      </w:r>
    </w:p>
    <w:p>
      <w:r>
        <w:t>Tabla completa de las 60 preguntas con respuestas y puntuaciones.</w:t>
      </w:r>
    </w:p>
    <w:p>
      <w:pPr>
        <w:pStyle w:val="Heading3"/>
        <w:keepNext/>
        <w:keepLines/>
      </w:pPr>
      <w:r>
        <w:t>DIAPOSITIVA 20 (OPT) — POA&amp;M Detallado</w:t>
      </w:r>
    </w:p>
    <w:p>
      <w:r>
        <w:t>Tabla completa del Plan de Acción y Mejora con todas las acciones priorizadas.</w:t>
      </w:r>
    </w:p>
    <w:p>
      <w:pPr>
        <w:pStyle w:val="Heading3"/>
        <w:keepNext/>
        <w:keepLines/>
      </w:pPr>
      <w:r>
        <w:t>DIAPOSITIVA 21 (OPT) — Análisis de Sensibilidad ROSI</w:t>
      </w:r>
    </w:p>
    <w:p>
      <w:r>
        <w:t>Gráfico de tornado de las variables con mayor impacto en el ROSI.</w:t>
      </w:r>
    </w:p>
    <w:p>
      <w:pPr>
        <w:pStyle w:val="Heading3"/>
        <w:keepNext/>
        <w:keepLines/>
      </w:pPr>
      <w:r>
        <w:t>DIAPOSITIVA 22 (OPT) — Detalle de Compliance ENS</w:t>
      </w:r>
    </w:p>
    <w:p>
      <w:r>
        <w:t>Estado artículo a artículo de la adecuación al RD 311/2022.</w:t>
      </w:r>
    </w:p>
    <w:p>
      <w:pPr>
        <w:pStyle w:val="Heading3"/>
        <w:keepNext/>
        <w:keepLines/>
      </w:pPr>
      <w:r>
        <w:t>DIAPOSITIVA 23 (OPT) — Comparativa con Encuesta Anterior</w:t>
      </w:r>
    </w:p>
    <w:p>
      <w:r>
        <w:t>Evolución del IGM respecto a la medición anterior (si disponible).</w:t>
      </w:r>
    </w:p>
    <w:p>
      <w:r>
        <w:rPr>
          <w:i/>
        </w:rPr>
        <w:t>Kit de Encuesta FISMA 2025 — Plantilla Reporte Ejecutivo PowerPoint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